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footnotes.xml" ContentType="application/vnd.openxmlformats-officedocument.wordprocessingml.footnote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agwek1"/>
        <w:numPr>
          <w:ilvl w:val="0"/>
          <w:numId w:val="2"/>
        </w:numPr>
        <w:spacing w:lineRule="auto" w:line="360" w:before="0" w:after="0"/>
        <w:jc w:val="center"/>
        <w:rPr>
          <w:rFonts w:ascii="Aptos" w:hAnsi="Aptos"/>
        </w:rPr>
      </w:pPr>
      <w:r>
        <w:rPr>
          <w:rFonts w:cs="Cambria" w:ascii="Aptos" w:hAnsi="Aptos"/>
          <w:sz w:val="24"/>
          <w:szCs w:val="24"/>
        </w:rPr>
        <w:t>Nr sprawy: DK.271.9.2024</w:t>
        <w:tab/>
        <w:tab/>
        <w:tab/>
        <w:tab/>
        <w:tab/>
        <w:tab/>
        <w:t>Zielonki, wrzesień 2024 r.</w:t>
      </w:r>
    </w:p>
    <w:p>
      <w:pPr>
        <w:pStyle w:val="Nagwek1"/>
        <w:numPr>
          <w:ilvl w:val="0"/>
          <w:numId w:val="2"/>
        </w:numPr>
        <w:spacing w:lineRule="auto" w:line="360" w:before="0" w:after="0"/>
        <w:rPr>
          <w:rFonts w:ascii="Aptos" w:hAnsi="Aptos" w:cs="Cambria"/>
        </w:rPr>
      </w:pPr>
      <w:r>
        <w:rPr>
          <w:rFonts w:cs="Cambria" w:ascii="Aptos" w:hAnsi="Aptos"/>
        </w:rPr>
      </w:r>
    </w:p>
    <w:p>
      <w:pPr>
        <w:pStyle w:val="Normal"/>
        <w:numPr>
          <w:ilvl w:val="0"/>
          <w:numId w:val="2"/>
        </w:numPr>
        <w:overflowPunct w:val="true"/>
        <w:spacing w:lineRule="auto" w:line="360" w:before="0" w:after="0"/>
        <w:jc w:val="center"/>
        <w:rPr>
          <w:rFonts w:ascii="Aptos" w:hAnsi="Aptos"/>
        </w:rPr>
      </w:pPr>
      <w:r>
        <w:rPr>
          <w:rFonts w:ascii="Aptos" w:hAnsi="Aptos"/>
        </w:rPr>
        <w:t>​​</w:t>
      </w:r>
    </w:p>
    <w:p>
      <w:pPr>
        <w:pStyle w:val="Normal"/>
        <w:numPr>
          <w:ilvl w:val="0"/>
          <w:numId w:val="2"/>
        </w:numPr>
        <w:overflowPunct w:val="true"/>
        <w:spacing w:lineRule="auto" w:line="360" w:before="0" w:after="0"/>
        <w:rPr>
          <w:rFonts w:ascii="Aptos" w:hAnsi="Aptos"/>
        </w:rPr>
      </w:pPr>
      <w:r>
        <w:drawing>
          <wp:anchor behindDoc="0" distT="0" distB="0" distL="0" distR="0" simplePos="0" locked="0" layoutInCell="0" allowOverlap="1" relativeHeight="2">
            <wp:simplePos x="0" y="0"/>
            <wp:positionH relativeFrom="column">
              <wp:posOffset>60325</wp:posOffset>
            </wp:positionH>
            <wp:positionV relativeFrom="paragraph">
              <wp:posOffset>-46990</wp:posOffset>
            </wp:positionV>
            <wp:extent cx="845820" cy="1036955"/>
            <wp:effectExtent l="0" t="0" r="0" b="0"/>
            <wp:wrapSquare wrapText="largest"/>
            <wp:docPr id="1" name="Obraz1" descr="Herb Gminy Zielonk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descr="Herb Gminy Zielonki"/>
                    <pic:cNvPicPr>
                      <a:picLocks noChangeAspect="1" noChangeArrowheads="1"/>
                    </pic:cNvPicPr>
                  </pic:nvPicPr>
                  <pic:blipFill>
                    <a:blip r:embed="rId2"/>
                    <a:stretch>
                      <a:fillRect/>
                    </a:stretch>
                  </pic:blipFill>
                  <pic:spPr bwMode="auto">
                    <a:xfrm>
                      <a:off x="0" y="0"/>
                      <a:ext cx="845820" cy="1036955"/>
                    </a:xfrm>
                    <a:prstGeom prst="rect">
                      <a:avLst/>
                    </a:prstGeom>
                    <a:noFill/>
                  </pic:spPr>
                </pic:pic>
              </a:graphicData>
            </a:graphic>
          </wp:anchor>
        </w:drawing>
      </w:r>
      <w:r>
        <w:rPr>
          <w:rFonts w:eastAsia="Tahoma" w:cs="Tahoma" w:ascii="Aptos" w:hAnsi="Aptos"/>
          <w:b/>
          <w:bCs/>
        </w:rPr>
        <w:t>Gmina Zielonki</w:t>
      </w:r>
    </w:p>
    <w:p>
      <w:pPr>
        <w:pStyle w:val="Normal"/>
        <w:numPr>
          <w:ilvl w:val="0"/>
          <w:numId w:val="2"/>
        </w:numPr>
        <w:overflowPunct w:val="true"/>
        <w:spacing w:lineRule="auto" w:line="360" w:before="0" w:after="0"/>
        <w:rPr>
          <w:rFonts w:ascii="Aptos" w:hAnsi="Aptos"/>
        </w:rPr>
      </w:pPr>
      <w:r>
        <w:rPr>
          <w:rFonts w:eastAsia="Tahoma" w:cs="Tahoma" w:ascii="Aptos" w:hAnsi="Aptos"/>
          <w:b/>
          <w:bCs/>
        </w:rPr>
        <w:t>ul. Krakowskie Przedmieście 116</w:t>
      </w:r>
    </w:p>
    <w:p>
      <w:pPr>
        <w:pStyle w:val="Normal"/>
        <w:numPr>
          <w:ilvl w:val="0"/>
          <w:numId w:val="2"/>
        </w:numPr>
        <w:overflowPunct w:val="true"/>
        <w:spacing w:lineRule="auto" w:line="360" w:before="0" w:after="0"/>
        <w:rPr>
          <w:rFonts w:ascii="Aptos" w:hAnsi="Aptos"/>
        </w:rPr>
      </w:pPr>
      <w:r>
        <w:rPr>
          <w:rFonts w:eastAsia="Tahoma" w:cs="Tahoma" w:ascii="Aptos" w:hAnsi="Aptos"/>
          <w:b/>
          <w:bCs/>
        </w:rPr>
        <w:t>32-087 Zielonki</w:t>
      </w:r>
    </w:p>
    <w:p>
      <w:pPr>
        <w:pStyle w:val="Normal"/>
        <w:numPr>
          <w:ilvl w:val="0"/>
          <w:numId w:val="2"/>
        </w:numPr>
        <w:overflowPunct w:val="true"/>
        <w:spacing w:lineRule="auto" w:line="360" w:before="0" w:after="0"/>
        <w:rPr>
          <w:rFonts w:ascii="Aptos" w:hAnsi="Aptos"/>
        </w:rPr>
      </w:pPr>
      <w:r>
        <w:rPr>
          <w:rFonts w:eastAsia="Tahoma" w:cs="Tahoma" w:ascii="Aptos" w:hAnsi="Aptos"/>
          <w:b/>
          <w:bCs/>
        </w:rPr>
        <w:t>NIP: 513-00-38-162</w:t>
      </w:r>
    </w:p>
    <w:p>
      <w:pPr>
        <w:pStyle w:val="Normal"/>
        <w:numPr>
          <w:ilvl w:val="0"/>
          <w:numId w:val="2"/>
        </w:numPr>
        <w:overflowPunct w:val="true"/>
        <w:spacing w:lineRule="auto" w:line="360" w:before="0" w:after="0"/>
        <w:jc w:val="center"/>
        <w:rPr>
          <w:rFonts w:ascii="Aptos" w:hAnsi="Aptos" w:eastAsia="Tahoma" w:cs="Tahoma"/>
          <w:bCs/>
        </w:rPr>
      </w:pPr>
      <w:r>
        <w:rPr>
          <w:rFonts w:eastAsia="Tahoma" w:cs="Tahoma" w:ascii="Aptos" w:hAnsi="Aptos"/>
          <w:bCs/>
        </w:rPr>
      </w:r>
    </w:p>
    <w:p>
      <w:pPr>
        <w:pStyle w:val="Nagwek11"/>
        <w:numPr>
          <w:ilvl w:val="5"/>
          <w:numId w:val="2"/>
        </w:numPr>
        <w:spacing w:lineRule="auto" w:line="360" w:before="0" w:after="0"/>
        <w:jc w:val="center"/>
        <w:rPr>
          <w:rFonts w:ascii="Aptos" w:hAnsi="Aptos"/>
        </w:rPr>
      </w:pPr>
      <w:r>
        <w:rPr>
          <w:rFonts w:cs="Tahoma" w:ascii="Aptos" w:hAnsi="Aptos"/>
          <w:sz w:val="40"/>
          <w:szCs w:val="40"/>
        </w:rPr>
        <w:t>SPECYFIKACJA WARUNKÓ</w:t>
      </w:r>
      <w:r>
        <w:rPr>
          <w:rFonts w:eastAsia="Tahoma" w:cs="Tahoma" w:ascii="Aptos" w:hAnsi="Aptos"/>
          <w:sz w:val="40"/>
          <w:szCs w:val="40"/>
        </w:rPr>
        <w:t xml:space="preserve">W </w:t>
      </w:r>
      <w:r>
        <w:rPr>
          <w:rFonts w:cs="Tahoma" w:ascii="Aptos" w:hAnsi="Aptos"/>
          <w:sz w:val="40"/>
          <w:szCs w:val="40"/>
        </w:rPr>
        <w:t>ZAMÓWIENIA</w:t>
      </w:r>
    </w:p>
    <w:p>
      <w:pPr>
        <w:pStyle w:val="Normal"/>
        <w:widowControl/>
        <w:numPr>
          <w:ilvl w:val="0"/>
          <w:numId w:val="2"/>
        </w:numPr>
        <w:suppressAutoHyphens w:val="true"/>
        <w:overflowPunct w:val="true"/>
        <w:bidi w:val="0"/>
        <w:spacing w:lineRule="auto" w:line="360" w:before="0" w:after="0"/>
        <w:jc w:val="center"/>
        <w:rPr>
          <w:rFonts w:ascii="Aptos" w:hAnsi="Aptos" w:cs="Tahoma"/>
          <w:bCs/>
        </w:rPr>
      </w:pPr>
      <w:r>
        <w:rPr>
          <w:rFonts w:cs="Tahoma" w:ascii="Aptos" w:hAnsi="Aptos"/>
          <w:bCs/>
        </w:rPr>
      </w:r>
    </w:p>
    <w:p>
      <w:pPr>
        <w:pStyle w:val="Normal"/>
        <w:numPr>
          <w:ilvl w:val="0"/>
          <w:numId w:val="2"/>
        </w:numPr>
        <w:spacing w:lineRule="auto" w:line="276" w:before="0" w:after="0"/>
        <w:jc w:val="center"/>
        <w:rPr>
          <w:rFonts w:ascii="Aptos" w:hAnsi="Aptos"/>
        </w:rPr>
      </w:pPr>
      <w:r>
        <w:rPr>
          <w:rFonts w:cs="Tahoma" w:ascii="Aptos" w:hAnsi="Aptos"/>
          <w:b/>
          <w:bCs/>
          <w:sz w:val="26"/>
          <w:szCs w:val="26"/>
        </w:rPr>
        <w:t>Przebudowa i remont dróg w gminie Zielonki</w:t>
      </w:r>
    </w:p>
    <w:p>
      <w:pPr>
        <w:pStyle w:val="Normal"/>
        <w:numPr>
          <w:ilvl w:val="0"/>
          <w:numId w:val="2"/>
        </w:numPr>
        <w:spacing w:lineRule="auto" w:line="360" w:before="0" w:after="0"/>
        <w:jc w:val="center"/>
        <w:rPr>
          <w:rFonts w:ascii="Aptos" w:hAnsi="Aptos" w:cs="Tahoma"/>
          <w:bCs/>
          <w:sz w:val="28"/>
          <w:szCs w:val="28"/>
        </w:rPr>
      </w:pPr>
      <w:r>
        <w:rPr>
          <w:rFonts w:cs="Tahoma" w:ascii="Aptos" w:hAnsi="Aptos"/>
          <w:bCs/>
          <w:sz w:val="28"/>
          <w:szCs w:val="28"/>
        </w:rPr>
      </w:r>
    </w:p>
    <w:p>
      <w:pPr>
        <w:pStyle w:val="Normal"/>
        <w:numPr>
          <w:ilvl w:val="0"/>
          <w:numId w:val="2"/>
        </w:numPr>
        <w:overflowPunct w:val="true"/>
        <w:spacing w:lineRule="auto" w:line="360" w:before="0" w:after="0"/>
        <w:jc w:val="center"/>
        <w:rPr>
          <w:rFonts w:ascii="Aptos" w:hAnsi="Aptos"/>
        </w:rPr>
      </w:pPr>
      <w:r>
        <w:rPr>
          <w:rFonts w:cs="Tahoma" w:ascii="Aptos" w:hAnsi="Aptos"/>
          <w:color w:val="000000"/>
        </w:rPr>
        <w:t>Rodzaj zamówienia: roboty budowlane</w:t>
      </w:r>
    </w:p>
    <w:p>
      <w:pPr>
        <w:pStyle w:val="Normal"/>
        <w:numPr>
          <w:ilvl w:val="0"/>
          <w:numId w:val="2"/>
        </w:numPr>
        <w:overflowPunct w:val="true"/>
        <w:spacing w:lineRule="auto" w:line="360" w:before="0" w:after="0"/>
        <w:jc w:val="center"/>
        <w:rPr>
          <w:rFonts w:ascii="Aptos" w:hAnsi="Aptos" w:cs="Tahoma"/>
          <w:bCs/>
        </w:rPr>
      </w:pPr>
      <w:r>
        <w:rPr>
          <w:rFonts w:cs="Tahoma" w:ascii="Aptos" w:hAnsi="Aptos"/>
          <w:bCs/>
        </w:rPr>
      </w:r>
    </w:p>
    <w:p>
      <w:pPr>
        <w:pStyle w:val="Normal"/>
        <w:numPr>
          <w:ilvl w:val="0"/>
          <w:numId w:val="2"/>
        </w:numPr>
        <w:overflowPunct w:val="true"/>
        <w:spacing w:lineRule="auto" w:line="360" w:before="0" w:after="0"/>
        <w:jc w:val="center"/>
        <w:rPr>
          <w:rFonts w:ascii="Aptos" w:hAnsi="Aptos"/>
        </w:rPr>
      </w:pPr>
      <w:r>
        <w:rPr>
          <w:rFonts w:eastAsia="Tahoma" w:cs="Tahoma" w:ascii="Aptos" w:hAnsi="Aptos"/>
        </w:rPr>
        <w:t>Tryb udzielenie zamówienia: tryb podstawowy bez możliwości negocjacji</w:t>
      </w:r>
    </w:p>
    <w:p>
      <w:pPr>
        <w:pStyle w:val="Normal"/>
        <w:widowControl/>
        <w:suppressAutoHyphens w:val="true"/>
        <w:overflowPunct w:val="true"/>
        <w:bidi w:val="0"/>
        <w:spacing w:lineRule="auto" w:line="360" w:before="0" w:after="0"/>
        <w:jc w:val="center"/>
        <w:rPr>
          <w:rFonts w:ascii="Aptos" w:hAnsi="Aptos"/>
        </w:rPr>
      </w:pPr>
      <w:r>
        <w:rPr>
          <w:rFonts w:ascii="Aptos" w:hAnsi="Aptos"/>
        </w:rPr>
      </w:r>
    </w:p>
    <w:p>
      <w:pPr>
        <w:pStyle w:val="Normal"/>
        <w:overflowPunct w:val="false"/>
        <w:spacing w:lineRule="auto" w:line="276" w:before="28" w:after="28"/>
        <w:jc w:val="center"/>
        <w:rPr>
          <w:rFonts w:ascii="Aptos" w:hAnsi="Aptos" w:cs="Tahoma"/>
          <w:b/>
          <w:bCs/>
        </w:rPr>
      </w:pPr>
      <w:r>
        <w:rPr>
          <w:rFonts w:cs="Tahoma" w:ascii="Aptos" w:hAnsi="Aptos"/>
          <w:b/>
          <w:bCs/>
        </w:rPr>
      </w:r>
    </w:p>
    <w:p>
      <w:pPr>
        <w:pStyle w:val="Normal"/>
        <w:widowControl/>
        <w:suppressAutoHyphens w:val="true"/>
        <w:overflowPunct w:val="true"/>
        <w:bidi w:val="0"/>
        <w:spacing w:lineRule="auto" w:line="360" w:before="0" w:after="0"/>
        <w:jc w:val="center"/>
        <w:rPr>
          <w:rFonts w:ascii="Aptos" w:hAnsi="Aptos"/>
        </w:rPr>
      </w:pPr>
      <w:r>
        <w:rPr>
          <w:rFonts w:ascii="Aptos" w:hAnsi="Aptos"/>
        </w:rPr>
      </w:r>
    </w:p>
    <w:p>
      <w:pPr>
        <w:pStyle w:val="Normal"/>
        <w:numPr>
          <w:ilvl w:val="0"/>
          <w:numId w:val="2"/>
        </w:numPr>
        <w:overflowPunct w:val="true"/>
        <w:spacing w:lineRule="auto" w:line="360" w:before="0" w:after="0"/>
        <w:jc w:val="both"/>
        <w:rPr>
          <w:rFonts w:ascii="Aptos" w:hAnsi="Aptos"/>
        </w:rPr>
      </w:pPr>
      <w:r>
        <w:rPr>
          <w:rFonts w:cs="Tahoma" w:ascii="Aptos" w:hAnsi="Aptos"/>
          <w:bCs/>
          <w:u w:val="single"/>
        </w:rPr>
        <w:t>Sporządził:</w:t>
      </w:r>
    </w:p>
    <w:p>
      <w:pPr>
        <w:pStyle w:val="Normal"/>
        <w:numPr>
          <w:ilvl w:val="0"/>
          <w:numId w:val="2"/>
        </w:numPr>
        <w:overflowPunct w:val="true"/>
        <w:spacing w:lineRule="auto" w:line="360" w:before="0" w:after="0"/>
        <w:jc w:val="both"/>
        <w:rPr>
          <w:rFonts w:ascii="Aptos" w:hAnsi="Aptos"/>
        </w:rPr>
      </w:pPr>
      <w:r>
        <w:rPr>
          <w:rFonts w:cs="Tahoma" w:ascii="Aptos" w:hAnsi="Aptos"/>
          <w:bCs/>
        </w:rPr>
        <w:t>Tomasz Jaje</w:t>
      </w:r>
    </w:p>
    <w:p>
      <w:pPr>
        <w:pStyle w:val="Normal"/>
        <w:numPr>
          <w:ilvl w:val="0"/>
          <w:numId w:val="2"/>
        </w:numPr>
        <w:spacing w:lineRule="auto" w:line="360" w:before="0" w:after="0"/>
        <w:ind w:hanging="0" w:left="3969"/>
        <w:jc w:val="center"/>
        <w:rPr>
          <w:rFonts w:ascii="Aptos" w:hAnsi="Aptos"/>
        </w:rPr>
      </w:pPr>
      <w:r>
        <w:rPr>
          <w:rFonts w:cs="Liberation Sans;Arial" w:ascii="Aptos" w:hAnsi="Aptos"/>
          <w:color w:val="00000A"/>
          <w:u w:val="single"/>
        </w:rPr>
        <w:t>Zatwierdził:</w:t>
      </w:r>
    </w:p>
    <w:p>
      <w:pPr>
        <w:pStyle w:val="Normal"/>
        <w:numPr>
          <w:ilvl w:val="0"/>
          <w:numId w:val="2"/>
        </w:numPr>
        <w:spacing w:lineRule="auto" w:line="360" w:before="0" w:after="0"/>
        <w:ind w:hanging="0" w:left="3969"/>
        <w:jc w:val="center"/>
        <w:rPr>
          <w:rFonts w:ascii="Aptos" w:hAnsi="Aptos"/>
        </w:rPr>
      </w:pPr>
      <w:r>
        <w:rPr>
          <w:rFonts w:cs="Liberation Sans;Arial" w:ascii="Aptos" w:hAnsi="Aptos"/>
          <w:color w:val="00000A"/>
        </w:rPr>
        <w:t>Wójt Gminy Zielonki</w:t>
      </w:r>
    </w:p>
    <w:p>
      <w:pPr>
        <w:pStyle w:val="Normal"/>
        <w:numPr>
          <w:ilvl w:val="0"/>
          <w:numId w:val="2"/>
        </w:numPr>
        <w:spacing w:lineRule="auto" w:line="360" w:before="0" w:after="0"/>
        <w:ind w:hanging="0" w:left="3969"/>
        <w:jc w:val="center"/>
        <w:rPr>
          <w:rFonts w:ascii="Aptos" w:hAnsi="Aptos" w:cs="Liberation Sans;Arial"/>
          <w:color w:val="00000A"/>
        </w:rPr>
      </w:pPr>
      <w:r>
        <w:rPr>
          <w:rFonts w:cs="Liberation Sans;Arial" w:ascii="Aptos" w:hAnsi="Aptos"/>
          <w:color w:val="00000A"/>
        </w:rPr>
      </w:r>
    </w:p>
    <w:p>
      <w:pPr>
        <w:pStyle w:val="Normal"/>
        <w:numPr>
          <w:ilvl w:val="0"/>
          <w:numId w:val="2"/>
        </w:numPr>
        <w:spacing w:lineRule="auto" w:line="360" w:before="0" w:after="0"/>
        <w:ind w:hanging="0" w:left="3969"/>
        <w:jc w:val="center"/>
        <w:rPr>
          <w:rFonts w:ascii="Aptos" w:hAnsi="Aptos" w:cs="Liberation Sans;Arial"/>
          <w:color w:val="00000A"/>
        </w:rPr>
      </w:pPr>
      <w:r>
        <w:rPr>
          <w:rFonts w:cs="Liberation Sans;Arial" w:ascii="Aptos" w:hAnsi="Aptos"/>
          <w:color w:val="00000A"/>
        </w:rPr>
      </w:r>
    </w:p>
    <w:p>
      <w:pPr>
        <w:pStyle w:val="Normal"/>
        <w:numPr>
          <w:ilvl w:val="0"/>
          <w:numId w:val="2"/>
        </w:numPr>
        <w:spacing w:lineRule="auto" w:line="360" w:before="0" w:after="0"/>
        <w:ind w:hanging="0" w:left="3969"/>
        <w:jc w:val="center"/>
        <w:rPr>
          <w:rFonts w:ascii="Aptos" w:hAnsi="Aptos" w:cs="Liberation Sans;Arial"/>
          <w:color w:val="00000A"/>
        </w:rPr>
      </w:pPr>
      <w:r>
        <w:rPr>
          <w:rFonts w:cs="Liberation Sans;Arial" w:ascii="Aptos" w:hAnsi="Aptos"/>
          <w:color w:val="00000A"/>
        </w:rPr>
      </w:r>
    </w:p>
    <w:p>
      <w:pPr>
        <w:pStyle w:val="Normal"/>
        <w:numPr>
          <w:ilvl w:val="0"/>
          <w:numId w:val="2"/>
        </w:numPr>
        <w:spacing w:lineRule="auto" w:line="360" w:before="0" w:after="0"/>
        <w:ind w:hanging="0" w:left="3969"/>
        <w:jc w:val="center"/>
        <w:rPr>
          <w:rFonts w:ascii="Aptos" w:hAnsi="Aptos"/>
        </w:rPr>
      </w:pPr>
      <w:r>
        <w:rPr>
          <w:rFonts w:eastAsia="Liberation Sans;Arial" w:cs="Liberation Sans;Arial" w:ascii="Aptos" w:hAnsi="Aptos"/>
          <w:color w:val="00000A"/>
        </w:rPr>
        <w:t>…</w:t>
      </w:r>
      <w:r>
        <w:rPr>
          <w:rFonts w:eastAsia="Liberation Sans;Arial" w:cs="Liberation Sans;Arial" w:ascii="Aptos" w:hAnsi="Aptos"/>
          <w:color w:val="00000A"/>
        </w:rPr>
        <w:t>.........…r. ………………………………</w:t>
      </w:r>
      <w:r>
        <w:rPr>
          <w:rFonts w:cs="Liberation Sans;Arial" w:ascii="Aptos" w:hAnsi="Aptos"/>
          <w:color w:val="00000A"/>
        </w:rPr>
        <w:t>..</w:t>
      </w:r>
    </w:p>
    <w:p>
      <w:pPr>
        <w:pStyle w:val="Normal"/>
        <w:numPr>
          <w:ilvl w:val="0"/>
          <w:numId w:val="2"/>
        </w:numPr>
        <w:spacing w:lineRule="auto" w:line="360" w:before="0" w:after="0"/>
        <w:ind w:hanging="0" w:left="3969"/>
        <w:jc w:val="center"/>
        <w:rPr>
          <w:rFonts w:ascii="Aptos" w:hAnsi="Aptos"/>
        </w:rPr>
      </w:pPr>
      <w:r>
        <w:rPr>
          <w:rFonts w:cs="Liberation Sans;Arial" w:ascii="Aptos" w:hAnsi="Aptos"/>
          <w:color w:val="00000A"/>
        </w:rPr>
        <w:t>data i podpis</w:t>
      </w:r>
      <w:r>
        <w:br w:type="page"/>
      </w:r>
    </w:p>
    <w:p>
      <w:pPr>
        <w:pStyle w:val="Normal"/>
        <w:numPr>
          <w:ilvl w:val="0"/>
          <w:numId w:val="3"/>
        </w:numPr>
        <w:bidi w:val="0"/>
        <w:spacing w:lineRule="auto" w:line="360" w:before="0" w:after="0"/>
        <w:jc w:val="both"/>
        <w:rPr>
          <w:rFonts w:ascii="Aptos" w:hAnsi="Aptos"/>
        </w:rPr>
      </w:pPr>
      <w:r>
        <w:rPr>
          <w:rFonts w:ascii="Aptos" w:hAnsi="Aptos"/>
          <w:b/>
          <w:bCs/>
          <w:sz w:val="24"/>
          <w:szCs w:val="24"/>
          <w:shd w:fill="auto" w:val="clear"/>
        </w:rPr>
        <w:t>Nazwa oraz adres zamawiającego, numer telefonu, adres poczty elektronicznej oraz strony internetowej prowadzonego postępowania.</w:t>
      </w:r>
    </w:p>
    <w:p>
      <w:pPr>
        <w:pStyle w:val="Normal"/>
        <w:spacing w:lineRule="auto" w:line="360"/>
        <w:jc w:val="both"/>
        <w:rPr>
          <w:rFonts w:ascii="Aptos" w:hAnsi="Aptos"/>
          <w:sz w:val="24"/>
          <w:szCs w:val="24"/>
          <w:highlight w:val="none"/>
          <w:shd w:fill="auto" w:val="clear"/>
        </w:rPr>
      </w:pPr>
      <w:r>
        <w:rPr>
          <w:rFonts w:ascii="Aptos" w:hAnsi="Aptos"/>
          <w:sz w:val="24"/>
          <w:szCs w:val="24"/>
          <w:shd w:fill="auto" w:val="clear"/>
        </w:rPr>
      </w:r>
    </w:p>
    <w:p>
      <w:pPr>
        <w:pStyle w:val="Normal"/>
        <w:spacing w:lineRule="auto" w:line="360"/>
        <w:jc w:val="both"/>
        <w:rPr>
          <w:rFonts w:ascii="Aptos" w:hAnsi="Aptos"/>
        </w:rPr>
      </w:pPr>
      <w:r>
        <w:rPr>
          <w:rFonts w:ascii="Aptos" w:hAnsi="Aptos"/>
          <w:sz w:val="24"/>
          <w:szCs w:val="24"/>
          <w:shd w:fill="auto" w:val="clear"/>
        </w:rPr>
        <w:t xml:space="preserve">Gmina Zielonki, 32 - 087 Zielonki, ul. Krakowskie Przedmieście 116 </w:t>
      </w:r>
    </w:p>
    <w:p>
      <w:pPr>
        <w:pStyle w:val="Normal"/>
        <w:spacing w:lineRule="auto" w:line="360"/>
        <w:jc w:val="both"/>
        <w:rPr>
          <w:rFonts w:ascii="Aptos" w:hAnsi="Aptos"/>
        </w:rPr>
      </w:pPr>
      <w:r>
        <w:rPr>
          <w:rFonts w:ascii="Aptos" w:hAnsi="Aptos"/>
          <w:sz w:val="24"/>
          <w:szCs w:val="24"/>
          <w:shd w:fill="auto" w:val="clear"/>
        </w:rPr>
        <w:t xml:space="preserve">tel. + 48 12 285-08-50, fax + 48 12 285-09-50 </w:t>
      </w:r>
    </w:p>
    <w:p>
      <w:pPr>
        <w:pStyle w:val="Normal"/>
        <w:spacing w:lineRule="auto" w:line="360"/>
        <w:jc w:val="both"/>
        <w:rPr/>
      </w:pPr>
      <w:r>
        <w:rPr>
          <w:rFonts w:ascii="Aptos" w:hAnsi="Aptos"/>
          <w:sz w:val="24"/>
          <w:szCs w:val="24"/>
          <w:shd w:fill="auto" w:val="clear"/>
        </w:rPr>
        <w:t xml:space="preserve">poczta elektroniczna (e–mail): </w:t>
      </w:r>
      <w:hyperlink r:id="rId3">
        <w:r>
          <w:rPr>
            <w:rStyle w:val="Hyperlink"/>
            <w:rFonts w:ascii="Aptos" w:hAnsi="Aptos"/>
            <w:sz w:val="24"/>
            <w:szCs w:val="24"/>
            <w:shd w:fill="auto" w:val="clear"/>
          </w:rPr>
          <w:t>ug@zielonki.pl</w:t>
        </w:r>
      </w:hyperlink>
    </w:p>
    <w:p>
      <w:pPr>
        <w:pStyle w:val="Normal"/>
        <w:spacing w:lineRule="auto" w:line="360"/>
        <w:jc w:val="both"/>
        <w:rPr/>
      </w:pPr>
      <w:r>
        <w:rPr>
          <w:rFonts w:ascii="Aptos" w:hAnsi="Aptos"/>
          <w:sz w:val="24"/>
          <w:szCs w:val="24"/>
          <w:shd w:fill="auto" w:val="clear"/>
        </w:rPr>
        <w:t xml:space="preserve">adres strony internetowej : </w:t>
      </w:r>
      <w:hyperlink r:id="rId4">
        <w:r>
          <w:rPr>
            <w:rStyle w:val="Hyperlink"/>
            <w:rFonts w:ascii="Aptos" w:hAnsi="Aptos"/>
            <w:sz w:val="24"/>
            <w:szCs w:val="24"/>
            <w:shd w:fill="auto" w:val="clear"/>
          </w:rPr>
          <w:t>zielonki.pl</w:t>
        </w:r>
      </w:hyperlink>
      <w:r>
        <w:rPr>
          <w:rFonts w:ascii="Aptos" w:hAnsi="Aptos"/>
          <w:sz w:val="24"/>
          <w:szCs w:val="24"/>
          <w:shd w:fill="auto" w:val="clear"/>
        </w:rPr>
        <w:t xml:space="preserve"> </w:t>
      </w:r>
    </w:p>
    <w:p>
      <w:pPr>
        <w:pStyle w:val="Normal"/>
        <w:spacing w:lineRule="auto" w:line="360"/>
        <w:jc w:val="both"/>
        <w:rPr>
          <w:rFonts w:ascii="Aptos" w:hAnsi="Aptos"/>
          <w:sz w:val="24"/>
          <w:szCs w:val="24"/>
          <w:highlight w:val="none"/>
          <w:shd w:fill="auto" w:val="clear"/>
        </w:rPr>
      </w:pPr>
      <w:r>
        <w:rPr>
          <w:rFonts w:ascii="Aptos" w:hAnsi="Aptos"/>
          <w:sz w:val="24"/>
          <w:szCs w:val="24"/>
          <w:shd w:fill="auto" w:val="clear"/>
        </w:rPr>
      </w:r>
    </w:p>
    <w:p>
      <w:pPr>
        <w:pStyle w:val="Normal"/>
        <w:numPr>
          <w:ilvl w:val="0"/>
          <w:numId w:val="3"/>
        </w:numPr>
        <w:bidi w:val="0"/>
        <w:spacing w:lineRule="auto" w:line="360"/>
        <w:jc w:val="both"/>
        <w:rPr>
          <w:rFonts w:ascii="Aptos" w:hAnsi="Aptos"/>
        </w:rPr>
      </w:pPr>
      <w:r>
        <w:rPr>
          <w:rFonts w:ascii="Aptos" w:hAnsi="Aptos"/>
          <w:b/>
          <w:bCs/>
          <w:sz w:val="24"/>
          <w:szCs w:val="24"/>
          <w:shd w:fill="auto" w:val="clear"/>
        </w:rPr>
        <w:t>Adres strony internetowej, na której udostępniane będą zmiany i wyjaśnienia treści SWZ oraz inne dokumenty zamówienia bezpośrednio związane z postępowaniem o udzielenie zamówienia.</w:t>
      </w:r>
    </w:p>
    <w:p>
      <w:pPr>
        <w:pStyle w:val="Normal"/>
        <w:spacing w:lineRule="auto" w:line="360"/>
        <w:jc w:val="both"/>
        <w:rPr>
          <w:rFonts w:ascii="Aptos" w:hAnsi="Aptos"/>
          <w:b w:val="false"/>
          <w:bCs w:val="false"/>
          <w:sz w:val="24"/>
          <w:szCs w:val="24"/>
          <w:highlight w:val="none"/>
          <w:shd w:fill="auto" w:val="clear"/>
        </w:rPr>
      </w:pPr>
      <w:r>
        <w:rPr>
          <w:rFonts w:ascii="Aptos" w:hAnsi="Aptos"/>
          <w:b w:val="false"/>
          <w:bCs w:val="false"/>
          <w:sz w:val="24"/>
          <w:szCs w:val="24"/>
          <w:shd w:fill="auto" w:val="clear"/>
        </w:rPr>
      </w:r>
    </w:p>
    <w:p>
      <w:pPr>
        <w:pStyle w:val="Domylnie"/>
        <w:widowControl/>
        <w:suppressAutoHyphens w:val="true"/>
        <w:bidi w:val="0"/>
        <w:spacing w:lineRule="auto" w:line="360" w:before="0" w:after="0"/>
        <w:ind w:hanging="0" w:left="0" w:right="0"/>
        <w:jc w:val="left"/>
        <w:rPr/>
      </w:pPr>
      <w:hyperlink r:id="rId5">
        <w:r>
          <w:rPr>
            <w:rStyle w:val="Hyperlink"/>
            <w:rFonts w:eastAsia="Lucida Sans Unicode" w:cs="Calibri" w:ascii="Aptos" w:hAnsi="Aptos"/>
            <w:b w:val="false"/>
            <w:bCs w:val="false"/>
            <w:color w:val="000000"/>
            <w:kern w:val="2"/>
            <w:sz w:val="24"/>
            <w:szCs w:val="24"/>
            <w:u w:val="single"/>
            <w:shd w:fill="auto" w:val="clear"/>
            <w:lang w:val="pl-PL" w:eastAsia="pl-PL" w:bidi="ar-SA"/>
          </w:rPr>
          <w:t>https://ezamowienia.gov.pl/mp-client/search/list</w:t>
        </w:r>
        <w:r>
          <w:rPr>
            <w:rStyle w:val="Hyperlink"/>
            <w:rFonts w:eastAsia="Lucida Sans Unicode" w:cs="Calibri" w:ascii="Aptos" w:hAnsi="Aptos"/>
            <w:b w:val="false"/>
            <w:bCs w:val="false"/>
            <w:color w:val="000000"/>
            <w:kern w:val="2"/>
            <w:sz w:val="24"/>
            <w:szCs w:val="24"/>
            <w:shd w:fill="auto" w:val="clear"/>
            <w:lang w:val="pl-PL" w:eastAsia="pl-PL" w:bidi="ar-SA"/>
          </w:rPr>
          <w:t>/</w:t>
        </w:r>
      </w:hyperlink>
      <w:r>
        <w:rPr>
          <w:rStyle w:val="InternetLink3"/>
          <w:rFonts w:eastAsia="Lucida Sans Unicode" w:cs="Calibri" w:ascii="Aptos" w:hAnsi="Aptos"/>
          <w:b w:val="false"/>
          <w:bCs w:val="false"/>
          <w:color w:val="000000"/>
          <w:kern w:val="2"/>
          <w:sz w:val="24"/>
          <w:szCs w:val="24"/>
          <w:shd w:fill="auto" w:val="clear"/>
          <w:lang w:val="pl-PL" w:eastAsia="pl-PL" w:bidi="ar-SA"/>
        </w:rPr>
        <w:t>ocds-148610-30a794d0-3931-4f46-b672-59907ed38874</w:t>
      </w:r>
    </w:p>
    <w:p>
      <w:pPr>
        <w:pStyle w:val="Normal"/>
        <w:spacing w:lineRule="auto" w:line="360"/>
        <w:jc w:val="both"/>
        <w:rPr>
          <w:rFonts w:ascii="Aptos" w:hAnsi="Aptos"/>
          <w:b w:val="false"/>
          <w:bCs w:val="false"/>
          <w:sz w:val="24"/>
          <w:szCs w:val="24"/>
          <w:highlight w:val="none"/>
          <w:shd w:fill="auto" w:val="clear"/>
        </w:rPr>
      </w:pPr>
      <w:r>
        <w:rPr>
          <w:rFonts w:ascii="Aptos" w:hAnsi="Aptos"/>
          <w:b w:val="false"/>
          <w:bCs w:val="false"/>
          <w:sz w:val="24"/>
          <w:szCs w:val="24"/>
          <w:shd w:fill="auto" w:val="clear"/>
        </w:rPr>
      </w:r>
    </w:p>
    <w:p>
      <w:pPr>
        <w:pStyle w:val="Normal"/>
        <w:numPr>
          <w:ilvl w:val="0"/>
          <w:numId w:val="3"/>
        </w:numPr>
        <w:spacing w:lineRule="auto" w:line="360"/>
        <w:jc w:val="both"/>
        <w:rPr>
          <w:rFonts w:ascii="Aptos" w:hAnsi="Aptos"/>
        </w:rPr>
      </w:pPr>
      <w:r>
        <w:rPr>
          <w:rFonts w:ascii="Aptos" w:hAnsi="Aptos"/>
          <w:b/>
          <w:bCs/>
          <w:sz w:val="24"/>
          <w:szCs w:val="24"/>
          <w:shd w:fill="auto" w:val="clear"/>
        </w:rPr>
        <w:t>Tryb udzielenia zamówienia.</w:t>
      </w:r>
    </w:p>
    <w:p>
      <w:pPr>
        <w:pStyle w:val="Normal"/>
        <w:spacing w:lineRule="auto" w:line="360"/>
        <w:jc w:val="both"/>
        <w:rPr>
          <w:rFonts w:ascii="Aptos" w:hAnsi="Aptos"/>
          <w:b w:val="false"/>
          <w:bCs w:val="false"/>
          <w:sz w:val="24"/>
          <w:szCs w:val="24"/>
          <w:highlight w:val="none"/>
          <w:shd w:fill="auto" w:val="clear"/>
        </w:rPr>
      </w:pPr>
      <w:r>
        <w:rPr>
          <w:rFonts w:ascii="Aptos" w:hAnsi="Aptos"/>
          <w:b w:val="false"/>
          <w:bCs w:val="false"/>
          <w:sz w:val="24"/>
          <w:szCs w:val="24"/>
          <w:shd w:fill="auto" w:val="clear"/>
        </w:rPr>
      </w:r>
    </w:p>
    <w:p>
      <w:pPr>
        <w:pStyle w:val="Normal"/>
        <w:widowControl/>
        <w:numPr>
          <w:ilvl w:val="0"/>
          <w:numId w:val="5"/>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Postępowanie jest prowadzone z zastosowaniem przepisów ustawy z dnia 11 września 2019r. Prawo zamówień publicznych (t.j. Dz.U. z 2024 r. poz. 1320) – zwanej dalej Pzp, obowiązujących dla postępowań o udzielania zamówień klasycznych o wartości mniejszej niż progi unijne.</w:t>
      </w:r>
    </w:p>
    <w:p>
      <w:pPr>
        <w:pStyle w:val="Normal"/>
        <w:widowControl/>
        <w:numPr>
          <w:ilvl w:val="0"/>
          <w:numId w:val="5"/>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Postępowanie prowadzone jest w trybie podstawowym na podstawie art. 275 pkt. 1) Pzp.</w:t>
      </w:r>
    </w:p>
    <w:p>
      <w:pPr>
        <w:pStyle w:val="Normal"/>
        <w:spacing w:lineRule="auto" w:line="360"/>
        <w:jc w:val="both"/>
        <w:rPr>
          <w:rFonts w:ascii="Aptos" w:hAnsi="Aptos"/>
          <w:b/>
          <w:bCs/>
          <w:sz w:val="24"/>
          <w:szCs w:val="24"/>
          <w:highlight w:val="none"/>
          <w:shd w:fill="auto" w:val="clear"/>
        </w:rPr>
      </w:pPr>
      <w:r>
        <w:rPr>
          <w:rFonts w:ascii="Aptos" w:hAnsi="Aptos"/>
          <w:b/>
          <w:bCs/>
          <w:sz w:val="24"/>
          <w:szCs w:val="24"/>
          <w:shd w:fill="auto" w:val="clear"/>
        </w:rPr>
      </w:r>
    </w:p>
    <w:p>
      <w:pPr>
        <w:pStyle w:val="Normal"/>
        <w:numPr>
          <w:ilvl w:val="0"/>
          <w:numId w:val="3"/>
        </w:numPr>
        <w:spacing w:lineRule="auto" w:line="360"/>
        <w:jc w:val="both"/>
        <w:rPr>
          <w:rFonts w:ascii="Aptos" w:hAnsi="Aptos"/>
        </w:rPr>
      </w:pPr>
      <w:r>
        <w:rPr>
          <w:rFonts w:ascii="Aptos" w:hAnsi="Aptos"/>
          <w:b/>
          <w:bCs/>
          <w:sz w:val="24"/>
          <w:szCs w:val="24"/>
          <w:shd w:fill="auto" w:val="clear"/>
        </w:rPr>
        <w:t>Opis przedmiotu zamówienia.</w:t>
      </w:r>
    </w:p>
    <w:p>
      <w:pPr>
        <w:pStyle w:val="Normal"/>
        <w:spacing w:lineRule="auto" w:line="360"/>
        <w:jc w:val="both"/>
        <w:rPr>
          <w:rFonts w:ascii="Aptos" w:hAnsi="Aptos"/>
          <w:b w:val="false"/>
          <w:bCs w:val="false"/>
          <w:sz w:val="24"/>
          <w:szCs w:val="24"/>
          <w:highlight w:val="none"/>
          <w:shd w:fill="auto" w:val="clear"/>
        </w:rPr>
      </w:pPr>
      <w:r>
        <w:rPr>
          <w:rFonts w:ascii="Aptos" w:hAnsi="Aptos"/>
          <w:b w:val="false"/>
          <w:bCs w:val="false"/>
          <w:sz w:val="24"/>
          <w:szCs w:val="24"/>
          <w:shd w:fill="auto" w:val="clear"/>
        </w:rPr>
      </w:r>
    </w:p>
    <w:p>
      <w:pPr>
        <w:pStyle w:val="Normal"/>
        <w:widowControl/>
        <w:numPr>
          <w:ilvl w:val="0"/>
          <w:numId w:val="4"/>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 xml:space="preserve">Przedmiot zamówienia dzieli się na dwie części. </w:t>
      </w:r>
    </w:p>
    <w:p>
      <w:pPr>
        <w:pStyle w:val="Normal"/>
        <w:widowControl/>
        <w:numPr>
          <w:ilvl w:val="0"/>
          <w:numId w:val="4"/>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Opis:</w:t>
      </w:r>
    </w:p>
    <w:p>
      <w:pPr>
        <w:pStyle w:val="Normal"/>
        <w:widowControl/>
        <w:numPr>
          <w:ilvl w:val="1"/>
          <w:numId w:val="4"/>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przedmiotem zamówienia są roboty budowlane polegające na:</w:t>
      </w:r>
    </w:p>
    <w:p>
      <w:pPr>
        <w:pStyle w:val="Normal"/>
        <w:widowControl/>
        <w:numPr>
          <w:ilvl w:val="2"/>
          <w:numId w:val="4"/>
        </w:numPr>
        <w:suppressAutoHyphens w:val="true"/>
        <w:bidi w:val="0"/>
        <w:spacing w:lineRule="auto" w:line="360" w:before="0" w:after="0"/>
        <w:ind w:hanging="340" w:left="1077" w:right="0"/>
        <w:jc w:val="both"/>
        <w:rPr>
          <w:rFonts w:ascii="Aptos" w:hAnsi="Aptos"/>
        </w:rPr>
      </w:pPr>
      <w:r>
        <w:rPr>
          <w:rFonts w:ascii="Aptos" w:hAnsi="Aptos"/>
          <w:b w:val="false"/>
          <w:bCs w:val="false"/>
          <w:sz w:val="24"/>
          <w:szCs w:val="24"/>
          <w:shd w:fill="auto" w:val="clear"/>
        </w:rPr>
        <w:t>Część nr 1: Bibice ul. Brzozowa (przebudowa) - wykonaniu podbudowy o łącznej grubości 40cm oraz nawierzchni asfaltowej grubości 5cm na odcinku drogi długości 300m. Szerokość nawierzchni jezdni około 3,0m;</w:t>
      </w:r>
    </w:p>
    <w:p>
      <w:pPr>
        <w:pStyle w:val="Normal"/>
        <w:widowControl/>
        <w:numPr>
          <w:ilvl w:val="2"/>
          <w:numId w:val="4"/>
        </w:numPr>
        <w:suppressAutoHyphens w:val="true"/>
        <w:bidi w:val="0"/>
        <w:spacing w:lineRule="auto" w:line="360" w:before="0" w:after="0"/>
        <w:ind w:hanging="340" w:left="1077" w:right="0"/>
        <w:jc w:val="both"/>
        <w:rPr>
          <w:rFonts w:ascii="Aptos" w:hAnsi="Aptos"/>
        </w:rPr>
      </w:pPr>
      <w:r>
        <w:rPr>
          <w:rFonts w:ascii="Aptos" w:hAnsi="Aptos"/>
          <w:b w:val="false"/>
          <w:bCs w:val="false"/>
          <w:sz w:val="24"/>
          <w:szCs w:val="24"/>
          <w:shd w:fill="auto" w:val="clear"/>
        </w:rPr>
        <w:t xml:space="preserve">Część nr 2: Przybysławice ul. Na Chochół (remont) – sfrezowaniu starej nawierzchni, odcinkowej wymianie podbudowy, ułożeniu nawierzchni asfaltowej grubości 8cm na odcinku drogi długości 350m. Szerokość nawierzchni drogi około 5,4m – </w:t>
      </w:r>
      <w:r>
        <w:rPr>
          <w:rFonts w:ascii="Aptos" w:hAnsi="Aptos"/>
          <w:b w:val="false"/>
          <w:bCs w:val="false"/>
          <w:sz w:val="24"/>
          <w:szCs w:val="24"/>
          <w:shd w:fill="auto" w:val="clear"/>
        </w:rPr>
        <w:t>w ramach zadania pn „Remont drogi gminnej K601560 (ul. Na Chochół) w km od 3+766 do 4+116 w Przybysławicach, gmina Zielonki”</w:t>
      </w:r>
      <w:r>
        <w:rPr>
          <w:rFonts w:ascii="Aptos" w:hAnsi="Aptos"/>
          <w:b w:val="false"/>
          <w:bCs w:val="false"/>
          <w:sz w:val="24"/>
          <w:szCs w:val="24"/>
          <w:shd w:fill="auto" w:val="clear"/>
        </w:rPr>
        <w:t>.</w:t>
      </w:r>
    </w:p>
    <w:p>
      <w:pPr>
        <w:pStyle w:val="Normal"/>
        <w:widowControl/>
        <w:numPr>
          <w:ilvl w:val="1"/>
          <w:numId w:val="4"/>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Zakres prac szczegółowo opisany został w :</w:t>
      </w:r>
    </w:p>
    <w:p>
      <w:pPr>
        <w:pStyle w:val="Normal"/>
        <w:widowControl/>
        <w:numPr>
          <w:ilvl w:val="2"/>
          <w:numId w:val="4"/>
        </w:numPr>
        <w:suppressAutoHyphens w:val="true"/>
        <w:bidi w:val="0"/>
        <w:spacing w:lineRule="auto" w:line="360" w:before="0" w:after="0"/>
        <w:ind w:hanging="340" w:left="1020" w:right="0"/>
        <w:jc w:val="both"/>
        <w:rPr>
          <w:rFonts w:ascii="Aptos" w:hAnsi="Aptos"/>
        </w:rPr>
      </w:pPr>
      <w:r>
        <w:rPr>
          <w:rFonts w:ascii="Aptos" w:hAnsi="Aptos"/>
          <w:b w:val="false"/>
          <w:bCs w:val="false"/>
          <w:sz w:val="24"/>
          <w:szCs w:val="24"/>
          <w:shd w:fill="auto" w:val="clear"/>
        </w:rPr>
        <w:t>Specyfikacjach Technicznych Wykonania I Odbioru Robót Budowlanych (STWIORB);</w:t>
      </w:r>
    </w:p>
    <w:p>
      <w:pPr>
        <w:pStyle w:val="Normal"/>
        <w:widowControl/>
        <w:numPr>
          <w:ilvl w:val="2"/>
          <w:numId w:val="4"/>
        </w:numPr>
        <w:suppressAutoHyphens w:val="true"/>
        <w:bidi w:val="0"/>
        <w:spacing w:lineRule="auto" w:line="360" w:before="0" w:after="0"/>
        <w:ind w:hanging="340" w:left="1020" w:right="0"/>
        <w:jc w:val="both"/>
        <w:rPr>
          <w:rFonts w:ascii="Aptos" w:hAnsi="Aptos"/>
        </w:rPr>
      </w:pPr>
      <w:r>
        <w:rPr>
          <w:rFonts w:ascii="Aptos" w:hAnsi="Aptos"/>
          <w:b w:val="false"/>
          <w:bCs w:val="false"/>
          <w:sz w:val="24"/>
          <w:szCs w:val="24"/>
          <w:shd w:fill="auto" w:val="clear"/>
        </w:rPr>
        <w:t>przedmiarze robót.</w:t>
      </w:r>
    </w:p>
    <w:p>
      <w:pPr>
        <w:pStyle w:val="Normal"/>
        <w:widowControl/>
        <w:numPr>
          <w:ilvl w:val="1"/>
          <w:numId w:val="4"/>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 xml:space="preserve">Wspólny słownik zamówień (CPV) : </w:t>
      </w:r>
    </w:p>
    <w:p>
      <w:pPr>
        <w:pStyle w:val="Normal"/>
        <w:widowControl/>
        <w:numPr>
          <w:ilvl w:val="2"/>
          <w:numId w:val="4"/>
        </w:numPr>
        <w:suppressAutoHyphens w:val="true"/>
        <w:bidi w:val="0"/>
        <w:spacing w:lineRule="auto" w:line="360" w:before="0" w:after="0"/>
        <w:ind w:hanging="340" w:left="1020" w:right="0"/>
        <w:jc w:val="both"/>
        <w:rPr>
          <w:rFonts w:ascii="Aptos" w:hAnsi="Aptos"/>
        </w:rPr>
      </w:pPr>
      <w:r>
        <w:rPr>
          <w:rFonts w:ascii="Aptos" w:hAnsi="Aptos"/>
          <w:b w:val="false"/>
          <w:bCs w:val="false"/>
          <w:sz w:val="24"/>
          <w:szCs w:val="24"/>
          <w:shd w:fill="auto" w:val="clear"/>
        </w:rPr>
        <w:t>kod podstawowy: 45233140-2 Roboty drogowe;</w:t>
      </w:r>
    </w:p>
    <w:p>
      <w:pPr>
        <w:pStyle w:val="Normal"/>
        <w:widowControl/>
        <w:numPr>
          <w:ilvl w:val="2"/>
          <w:numId w:val="4"/>
        </w:numPr>
        <w:suppressAutoHyphens w:val="true"/>
        <w:bidi w:val="0"/>
        <w:spacing w:lineRule="auto" w:line="360" w:before="0" w:after="0"/>
        <w:ind w:hanging="340" w:left="1020" w:right="0"/>
        <w:jc w:val="both"/>
        <w:rPr>
          <w:rFonts w:ascii="Aptos" w:hAnsi="Aptos"/>
        </w:rPr>
      </w:pPr>
      <w:r>
        <w:rPr>
          <w:rFonts w:ascii="Aptos" w:hAnsi="Aptos"/>
          <w:b w:val="false"/>
          <w:bCs w:val="false"/>
          <w:sz w:val="24"/>
          <w:szCs w:val="24"/>
          <w:shd w:fill="auto" w:val="clear"/>
        </w:rPr>
        <w:t>kody pozostałe: 45111200-0 Roboty w zakresie przygotowania terenu pod budowę i roboty ziemne; 45100000-8 Przygotowanie terenu pod budowę; 45110000-1 Roboty w zakresie burzenia i rozbiórki obiektów, roboty ziemne; 45112210-0 Usuwanie wierzchniej warstwy gleby; 45111291-4 Roboty w zakresie zagospodarowania terenu; 45112730-1 Roboty w zakresie kształtowania dróg i autostrad; 45233120-6 Roboty w zakresie budowy dróg; 45233220-7 Roboty w zakresie nawierzchni dróg.</w:t>
      </w:r>
    </w:p>
    <w:p>
      <w:pPr>
        <w:pStyle w:val="Normal"/>
        <w:widowControl/>
        <w:numPr>
          <w:ilvl w:val="1"/>
          <w:numId w:val="4"/>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 xml:space="preserve">Pozostałe szczegółowe warunki zamówienia określa wzór umowy w sprawie zamówienia tj. </w:t>
      </w:r>
      <w:r>
        <w:rPr>
          <w:rFonts w:ascii="Aptos" w:hAnsi="Aptos"/>
          <w:b/>
          <w:bCs/>
          <w:sz w:val="24"/>
          <w:szCs w:val="24"/>
          <w:shd w:fill="auto" w:val="clear"/>
        </w:rPr>
        <w:t>załącznik nr 1</w:t>
      </w:r>
      <w:r>
        <w:rPr>
          <w:rFonts w:ascii="Aptos" w:hAnsi="Aptos"/>
          <w:b w:val="false"/>
          <w:bCs w:val="false"/>
          <w:sz w:val="24"/>
          <w:szCs w:val="24"/>
          <w:shd w:fill="auto" w:val="clear"/>
        </w:rPr>
        <w:t xml:space="preserve"> do niniejszej SWZ</w:t>
      </w:r>
    </w:p>
    <w:p>
      <w:pPr>
        <w:pStyle w:val="Normal"/>
        <w:widowControl/>
        <w:numPr>
          <w:ilvl w:val="0"/>
          <w:numId w:val="4"/>
        </w:numPr>
        <w:suppressAutoHyphens w:val="true"/>
        <w:bidi w:val="0"/>
        <w:spacing w:lineRule="auto" w:line="360" w:before="0" w:after="0"/>
        <w:ind w:hanging="340" w:left="340" w:right="0"/>
        <w:jc w:val="both"/>
        <w:rPr>
          <w:rFonts w:ascii="Aptos" w:hAnsi="Aptos"/>
        </w:rPr>
      </w:pPr>
      <w:r>
        <w:rPr>
          <w:rFonts w:ascii="Aptos" w:hAnsi="Aptos"/>
        </w:rPr>
        <w:t>Wykonawca zobowiązany będzie m. in.:</w:t>
      </w:r>
    </w:p>
    <w:p>
      <w:pPr>
        <w:pStyle w:val="Normal"/>
        <w:widowControl/>
        <w:numPr>
          <w:ilvl w:val="1"/>
          <w:numId w:val="4"/>
        </w:numPr>
        <w:suppressAutoHyphens w:val="true"/>
        <w:bidi w:val="0"/>
        <w:spacing w:lineRule="auto" w:line="360" w:before="0" w:after="0"/>
        <w:ind w:hanging="340" w:left="680" w:right="0"/>
        <w:jc w:val="both"/>
        <w:rPr>
          <w:rFonts w:ascii="Aptos" w:hAnsi="Aptos"/>
        </w:rPr>
      </w:pPr>
      <w:r>
        <w:rPr>
          <w:rFonts w:ascii="Aptos" w:hAnsi="Aptos"/>
        </w:rPr>
        <w:t>wykonać przedmiot umowy, zgodnie z dokumentacją, obowiązującymi przepisami prawa w terminach określonych umową;</w:t>
      </w:r>
    </w:p>
    <w:p>
      <w:pPr>
        <w:pStyle w:val="Normal"/>
        <w:widowControl/>
        <w:numPr>
          <w:ilvl w:val="1"/>
          <w:numId w:val="4"/>
        </w:numPr>
        <w:suppressAutoHyphens w:val="true"/>
        <w:bidi w:val="0"/>
        <w:spacing w:lineRule="auto" w:line="360" w:before="0" w:after="0"/>
        <w:ind w:hanging="340" w:left="680" w:right="0"/>
        <w:jc w:val="both"/>
        <w:rPr>
          <w:rFonts w:ascii="Aptos" w:hAnsi="Aptos"/>
        </w:rPr>
      </w:pPr>
      <w:r>
        <w:rPr>
          <w:rFonts w:ascii="Aptos" w:hAnsi="Aptos"/>
        </w:rPr>
        <w:t>przejąć teren budowy, umieścić w widocznym miejscu informacyjną tablicę budowlana ze wszystkimi danymi oraz pisemnie powiadomić właściwe organy, a także użytkowników terenów przylegających do terenu budowy o rozpoczęciu budowy</w:t>
      </w:r>
      <w:r>
        <w:rPr>
          <w:rStyle w:val="FootnoteReference"/>
          <w:rFonts w:ascii="Aptos" w:hAnsi="Aptos"/>
        </w:rPr>
        <w:footnoteReference w:id="2"/>
      </w:r>
      <w:r>
        <w:rPr>
          <w:rFonts w:ascii="Aptos" w:hAnsi="Aptos"/>
        </w:rPr>
        <w:t>;</w:t>
      </w:r>
    </w:p>
    <w:p>
      <w:pPr>
        <w:pStyle w:val="Normal"/>
        <w:widowControl/>
        <w:numPr>
          <w:ilvl w:val="1"/>
          <w:numId w:val="4"/>
        </w:numPr>
        <w:suppressAutoHyphens w:val="true"/>
        <w:bidi w:val="0"/>
        <w:spacing w:lineRule="auto" w:line="360" w:before="0" w:after="0"/>
        <w:ind w:hanging="340" w:left="680" w:right="0"/>
        <w:jc w:val="both"/>
        <w:rPr>
          <w:rFonts w:ascii="Aptos" w:hAnsi="Aptos"/>
        </w:rPr>
      </w:pPr>
      <w:r>
        <w:rPr>
          <w:rFonts w:ascii="Aptos" w:hAnsi="Aptos"/>
        </w:rPr>
        <w:t>zapewnić wykonania przedmiotu umowy przez osoby posiadające odpowiednie kwalifikacje;</w:t>
      </w:r>
    </w:p>
    <w:p>
      <w:pPr>
        <w:pStyle w:val="Normal"/>
        <w:widowControl/>
        <w:numPr>
          <w:ilvl w:val="1"/>
          <w:numId w:val="4"/>
        </w:numPr>
        <w:suppressAutoHyphens w:val="true"/>
        <w:bidi w:val="0"/>
        <w:spacing w:lineRule="auto" w:line="360" w:before="0" w:after="0"/>
        <w:ind w:hanging="340" w:left="680" w:right="0"/>
        <w:jc w:val="both"/>
        <w:rPr>
          <w:rFonts w:ascii="Aptos" w:hAnsi="Aptos"/>
        </w:rPr>
      </w:pPr>
      <w:r>
        <w:rPr>
          <w:rFonts w:ascii="Aptos" w:hAnsi="Aptos"/>
        </w:rPr>
        <w:t>wykonać wszelkie niezbędne roboty przygotowawcze i rozbiórki uwalniające teren budowy od realizacji zamierzeń budowlanych, zlokalizowanie sieci podziemnych i ich zinwentaryzowanie, określenie niezbędnych przekładek mediów w zależności od potrzeb;</w:t>
      </w:r>
    </w:p>
    <w:p>
      <w:pPr>
        <w:pStyle w:val="Normal"/>
        <w:widowControl/>
        <w:numPr>
          <w:ilvl w:val="1"/>
          <w:numId w:val="4"/>
        </w:numPr>
        <w:suppressAutoHyphens w:val="true"/>
        <w:bidi w:val="0"/>
        <w:spacing w:lineRule="auto" w:line="360" w:before="0" w:after="0"/>
        <w:ind w:hanging="340" w:left="680" w:right="0"/>
        <w:jc w:val="both"/>
        <w:rPr>
          <w:rFonts w:ascii="Aptos" w:hAnsi="Aptos"/>
        </w:rPr>
      </w:pPr>
      <w:r>
        <w:rPr>
          <w:rFonts w:ascii="Aptos" w:hAnsi="Aptos"/>
        </w:rPr>
        <w:t>zabezpieczyć we własnym zakresie, dla swoich pracowników warunki socjalne, zaplecza niezbędnego do realizacji robót oraz inne warunki przewidziane przepisami prawa;</w:t>
      </w:r>
    </w:p>
    <w:p>
      <w:pPr>
        <w:pStyle w:val="Normal"/>
        <w:widowControl/>
        <w:numPr>
          <w:ilvl w:val="1"/>
          <w:numId w:val="4"/>
        </w:numPr>
        <w:suppressAutoHyphens w:val="true"/>
        <w:bidi w:val="0"/>
        <w:spacing w:lineRule="auto" w:line="360" w:before="0" w:after="0"/>
        <w:ind w:hanging="340" w:left="680" w:right="0"/>
        <w:jc w:val="both"/>
        <w:rPr>
          <w:rFonts w:ascii="Aptos" w:hAnsi="Aptos"/>
        </w:rPr>
      </w:pPr>
      <w:r>
        <w:rPr>
          <w:rFonts w:ascii="Aptos" w:hAnsi="Aptos"/>
        </w:rPr>
        <w:t>ponieść wszelkie koszty związane z zużyciem energii, wody oraz innych mediów, na podstawie wskazań urządzeń i aparatur koniecznych do korzystania z usług i do pomiaru pobranych ilości;</w:t>
      </w:r>
    </w:p>
    <w:p>
      <w:pPr>
        <w:pStyle w:val="Normal"/>
        <w:widowControl/>
        <w:numPr>
          <w:ilvl w:val="1"/>
          <w:numId w:val="4"/>
        </w:numPr>
        <w:suppressAutoHyphens w:val="true"/>
        <w:bidi w:val="0"/>
        <w:spacing w:lineRule="auto" w:line="360" w:before="0" w:after="0"/>
        <w:ind w:hanging="340" w:left="680" w:right="0"/>
        <w:jc w:val="both"/>
        <w:rPr>
          <w:rFonts w:ascii="Aptos" w:hAnsi="Aptos"/>
        </w:rPr>
      </w:pPr>
      <w:r>
        <w:rPr>
          <w:rFonts w:ascii="Aptos" w:hAnsi="Aptos"/>
        </w:rPr>
        <w:t>uzgodnić, powiadomić i uzyskać zgodę na czasowe wyłączenia i przełożenia elementów sieci mediów i przyłączy w związku z prowadzonymi pracami budowlanymi – jeżeli wystąpi taka konieczność w czasie prac;</w:t>
      </w:r>
    </w:p>
    <w:p>
      <w:pPr>
        <w:pStyle w:val="Normal"/>
        <w:widowControl/>
        <w:numPr>
          <w:ilvl w:val="1"/>
          <w:numId w:val="4"/>
        </w:numPr>
        <w:suppressAutoHyphens w:val="true"/>
        <w:bidi w:val="0"/>
        <w:spacing w:lineRule="auto" w:line="360" w:before="0" w:after="0"/>
        <w:ind w:hanging="340" w:left="680" w:right="0"/>
        <w:jc w:val="both"/>
        <w:rPr>
          <w:rFonts w:ascii="Aptos" w:hAnsi="Aptos"/>
        </w:rPr>
      </w:pPr>
      <w:r>
        <w:rPr>
          <w:rFonts w:ascii="Aptos" w:hAnsi="Aptos"/>
        </w:rPr>
        <w:t>zawiadomić Zamawiającego i Inspektora Nadzoru Inwestorskiego</w:t>
      </w:r>
      <w:r>
        <w:rPr>
          <w:rStyle w:val="FootnoteReference"/>
          <w:rFonts w:ascii="Aptos" w:hAnsi="Aptos"/>
        </w:rPr>
        <w:footnoteReference w:id="3"/>
      </w:r>
      <w:r>
        <w:rPr>
          <w:rFonts w:ascii="Aptos" w:hAnsi="Aptos"/>
        </w:rPr>
        <w:t xml:space="preserve"> o terminie wykonania i odbiorze robót zanikających lub ulegających zakryciu;</w:t>
      </w:r>
    </w:p>
    <w:p>
      <w:pPr>
        <w:pStyle w:val="Normal"/>
        <w:widowControl/>
        <w:numPr>
          <w:ilvl w:val="1"/>
          <w:numId w:val="4"/>
        </w:numPr>
        <w:suppressAutoHyphens w:val="true"/>
        <w:bidi w:val="0"/>
        <w:spacing w:lineRule="auto" w:line="360" w:before="0" w:after="0"/>
        <w:ind w:hanging="340" w:left="680" w:right="0"/>
        <w:jc w:val="both"/>
        <w:rPr>
          <w:rFonts w:ascii="Aptos" w:hAnsi="Aptos"/>
        </w:rPr>
      </w:pPr>
      <w:r>
        <w:rPr>
          <w:rFonts w:ascii="Aptos" w:hAnsi="Aptos"/>
        </w:rPr>
        <w:t>zgłaszać każdorazowo pisemnie konieczność wykonania ewentualnych robót podobnych, dodatkowych lub zamiennych;</w:t>
      </w:r>
    </w:p>
    <w:p>
      <w:pPr>
        <w:pStyle w:val="Normal"/>
        <w:widowControl/>
        <w:numPr>
          <w:ilvl w:val="1"/>
          <w:numId w:val="4"/>
        </w:numPr>
        <w:suppressAutoHyphens w:val="true"/>
        <w:bidi w:val="0"/>
        <w:spacing w:lineRule="auto" w:line="360" w:before="0" w:after="0"/>
        <w:ind w:hanging="340" w:left="680" w:right="0"/>
        <w:jc w:val="both"/>
        <w:rPr>
          <w:rFonts w:ascii="Aptos" w:hAnsi="Aptos"/>
        </w:rPr>
      </w:pPr>
      <w:r>
        <w:rPr>
          <w:rFonts w:ascii="Aptos" w:hAnsi="Aptos"/>
        </w:rPr>
        <w:t>zawiadomić Zamawiającego o ewentualnych wadach dokumentacji projektowej;</w:t>
      </w:r>
    </w:p>
    <w:p>
      <w:pPr>
        <w:pStyle w:val="Normal"/>
        <w:widowControl/>
        <w:numPr>
          <w:ilvl w:val="1"/>
          <w:numId w:val="4"/>
        </w:numPr>
        <w:suppressAutoHyphens w:val="true"/>
        <w:bidi w:val="0"/>
        <w:spacing w:lineRule="auto" w:line="360" w:before="0" w:after="0"/>
        <w:ind w:hanging="340" w:left="680" w:right="0"/>
        <w:jc w:val="both"/>
        <w:rPr>
          <w:rFonts w:ascii="Aptos" w:hAnsi="Aptos"/>
        </w:rPr>
      </w:pPr>
      <w:r>
        <w:rPr>
          <w:rFonts w:ascii="Aptos" w:hAnsi="Aptos"/>
        </w:rPr>
        <w:t>zapewnić nadzór i kierownictwo prac budowlanych we właściwych specjalnościach;</w:t>
      </w:r>
    </w:p>
    <w:p>
      <w:pPr>
        <w:pStyle w:val="Normal"/>
        <w:widowControl/>
        <w:numPr>
          <w:ilvl w:val="1"/>
          <w:numId w:val="4"/>
        </w:numPr>
        <w:suppressAutoHyphens w:val="true"/>
        <w:bidi w:val="0"/>
        <w:spacing w:lineRule="auto" w:line="360" w:before="0" w:after="0"/>
        <w:ind w:hanging="340" w:left="680" w:right="0"/>
        <w:jc w:val="both"/>
        <w:rPr>
          <w:rFonts w:ascii="Aptos" w:hAnsi="Aptos"/>
        </w:rPr>
      </w:pPr>
      <w:r>
        <w:rPr>
          <w:rFonts w:ascii="Aptos" w:hAnsi="Aptos"/>
        </w:rPr>
        <w:t>zakupić i dostarczyć materiały do wykonania przedmiotu umowy. Wszystkie materiały i robocizna muszą być zgodne z wymaganiami projektu i winny posiadać odpowiednie świadectwa dopuszczenia do stosowania w budownictwie, certyfikaty bezpieczeństwa, deklaracje zgodności i aprobaty techniczne. W/w dokumenty Wykonawca przedstawi Inwestorowi/Inspektorowi Nadzoru Inwestorskiego</w:t>
      </w:r>
      <w:r>
        <w:rPr>
          <w:rStyle w:val="FootnoteReference"/>
          <w:rFonts w:ascii="Aptos" w:hAnsi="Aptos"/>
        </w:rPr>
        <w:footnoteReference w:id="4"/>
      </w:r>
      <w:r>
        <w:rPr>
          <w:rFonts w:ascii="Aptos" w:hAnsi="Aptos"/>
        </w:rPr>
        <w:t xml:space="preserve"> do akceptacji i po zaakceptowaniu możliwe będzie ich zastosowanie;</w:t>
      </w:r>
    </w:p>
    <w:p>
      <w:pPr>
        <w:pStyle w:val="Normal"/>
        <w:widowControl/>
        <w:numPr>
          <w:ilvl w:val="1"/>
          <w:numId w:val="4"/>
        </w:numPr>
        <w:suppressAutoHyphens w:val="true"/>
        <w:bidi w:val="0"/>
        <w:spacing w:lineRule="auto" w:line="360" w:before="0" w:after="0"/>
        <w:ind w:hanging="340" w:left="680" w:right="0"/>
        <w:jc w:val="both"/>
        <w:rPr>
          <w:rFonts w:ascii="Aptos" w:hAnsi="Aptos"/>
        </w:rPr>
      </w:pPr>
      <w:r>
        <w:rPr>
          <w:rFonts w:ascii="Aptos" w:hAnsi="Aptos"/>
        </w:rPr>
        <w:t>prowadzić dziennik budowy i dokonywać wpisów każdorazowo zatwierdzonych przez Inspektora Nadzoru Inwestorskiego</w:t>
      </w:r>
      <w:r>
        <w:rPr>
          <w:rStyle w:val="FootnoteReference"/>
          <w:rFonts w:ascii="Aptos" w:hAnsi="Aptos"/>
        </w:rPr>
        <w:footnoteReference w:id="5"/>
      </w:r>
      <w:r>
        <w:rPr>
          <w:rFonts w:ascii="Aptos" w:hAnsi="Aptos"/>
        </w:rPr>
        <w:t xml:space="preserve"> / prowadzić zeszyt budowy i dokonywać wpisów każdorazowo zatwierdzonych przez Inspektora Nadzoru Inwestorskiego</w:t>
      </w:r>
      <w:r>
        <w:rPr>
          <w:rStyle w:val="FootnoteReference"/>
          <w:rFonts w:ascii="Aptos" w:hAnsi="Aptos"/>
        </w:rPr>
        <w:footnoteReference w:id="6"/>
      </w:r>
      <w:r>
        <w:rPr>
          <w:rFonts w:ascii="Aptos" w:hAnsi="Aptos"/>
        </w:rPr>
        <w:t>;</w:t>
      </w:r>
    </w:p>
    <w:p>
      <w:pPr>
        <w:pStyle w:val="Normal"/>
        <w:widowControl/>
        <w:numPr>
          <w:ilvl w:val="1"/>
          <w:numId w:val="4"/>
        </w:numPr>
        <w:suppressAutoHyphens w:val="true"/>
        <w:bidi w:val="0"/>
        <w:spacing w:lineRule="auto" w:line="360" w:before="0" w:after="0"/>
        <w:ind w:hanging="340" w:left="680" w:right="0"/>
        <w:jc w:val="both"/>
        <w:rPr>
          <w:rFonts w:ascii="Aptos" w:hAnsi="Aptos"/>
        </w:rPr>
      </w:pPr>
      <w:r>
        <w:rPr>
          <w:rFonts w:ascii="Aptos" w:hAnsi="Aptos"/>
        </w:rPr>
        <w:t>uporządkować teren po zakończeniu robót budowlanych;</w:t>
      </w:r>
    </w:p>
    <w:p>
      <w:pPr>
        <w:pStyle w:val="Normal"/>
        <w:widowControl/>
        <w:numPr>
          <w:ilvl w:val="1"/>
          <w:numId w:val="4"/>
        </w:numPr>
        <w:suppressAutoHyphens w:val="true"/>
        <w:bidi w:val="0"/>
        <w:spacing w:lineRule="auto" w:line="360" w:before="0" w:after="0"/>
        <w:ind w:hanging="340" w:left="680" w:right="0"/>
        <w:jc w:val="both"/>
        <w:rPr>
          <w:rFonts w:ascii="Aptos" w:hAnsi="Aptos"/>
        </w:rPr>
      </w:pPr>
      <w:r>
        <w:rPr>
          <w:rFonts w:ascii="Aptos" w:hAnsi="Aptos"/>
        </w:rPr>
        <w:t>uzyskać zezwolenie na użytkowanie lub zaświadczenie o braku sprzeciwu w sprawie przystąpienia do użytkowania</w:t>
      </w:r>
      <w:r>
        <w:rPr>
          <w:rStyle w:val="FootnoteReference"/>
          <w:rFonts w:ascii="Aptos" w:hAnsi="Aptos"/>
        </w:rPr>
        <w:footnoteReference w:id="7"/>
      </w:r>
      <w:r>
        <w:rPr>
          <w:rFonts w:ascii="Aptos" w:hAnsi="Aptos"/>
        </w:rPr>
        <w:t>.</w:t>
      </w:r>
    </w:p>
    <w:p>
      <w:pPr>
        <w:pStyle w:val="Normal"/>
        <w:widowControl/>
        <w:numPr>
          <w:ilvl w:val="0"/>
          <w:numId w:val="4"/>
        </w:numPr>
        <w:suppressAutoHyphens w:val="true"/>
        <w:bidi w:val="0"/>
        <w:spacing w:lineRule="auto" w:line="360" w:before="0" w:after="0"/>
        <w:ind w:hanging="340" w:left="340" w:right="0"/>
        <w:jc w:val="both"/>
        <w:rPr>
          <w:rFonts w:ascii="Aptos" w:hAnsi="Aptos"/>
        </w:rPr>
      </w:pPr>
      <w:r>
        <w:rPr>
          <w:rFonts w:ascii="Aptos" w:hAnsi="Aptos"/>
        </w:rPr>
        <w:t>W trakcie realizacji robót objętych niniejszym zamówieniem Wykonawca zobowiązany będzie do przestrzegania wymogów wynikających z Programu ochrony powietrza dla województwa małopolskiego przyjętego Uchwałą Nr XXV/373/20 Sejmiku Województwa Małopolskiego z dnia 28 września 2020 r., w tym:</w:t>
      </w:r>
    </w:p>
    <w:p>
      <w:pPr>
        <w:pStyle w:val="Normal"/>
        <w:widowControl/>
        <w:numPr>
          <w:ilvl w:val="1"/>
          <w:numId w:val="4"/>
        </w:numPr>
        <w:suppressAutoHyphens w:val="true"/>
        <w:bidi w:val="0"/>
        <w:spacing w:lineRule="auto" w:line="360" w:before="0" w:after="0"/>
        <w:ind w:hanging="340" w:left="680" w:right="0"/>
        <w:jc w:val="both"/>
        <w:rPr>
          <w:rFonts w:ascii="Aptos" w:hAnsi="Aptos"/>
        </w:rPr>
      </w:pPr>
      <w:r>
        <w:rPr>
          <w:rFonts w:ascii="Aptos" w:hAnsi="Aptos"/>
        </w:rPr>
        <w:t>obowiązku spełnienia przez maszyny mobilne nieporuszające się po drogach (tj. maszyny budowlane – koparki, ładowarki, spycharki, itp.) o mocy powyżej 18 kW wymagania w postaci wyposażenia w filtr cząstek stałych,</w:t>
      </w:r>
    </w:p>
    <w:p>
      <w:pPr>
        <w:pStyle w:val="Normal"/>
        <w:widowControl/>
        <w:numPr>
          <w:ilvl w:val="1"/>
          <w:numId w:val="4"/>
        </w:numPr>
        <w:suppressAutoHyphens w:val="true"/>
        <w:bidi w:val="0"/>
        <w:spacing w:lineRule="auto" w:line="360" w:before="0" w:after="0"/>
        <w:ind w:hanging="340" w:left="680" w:right="0"/>
        <w:jc w:val="both"/>
        <w:rPr>
          <w:rFonts w:ascii="Aptos" w:hAnsi="Aptos"/>
        </w:rPr>
      </w:pPr>
      <w:r>
        <w:rPr>
          <w:rFonts w:ascii="Aptos" w:hAnsi="Aptos"/>
        </w:rPr>
        <w:t>obowiązku czyszczenia na mokro ulic i terenu wokół budowy, które są zanieczyszczone na skutek budowy,</w:t>
      </w:r>
    </w:p>
    <w:p>
      <w:pPr>
        <w:pStyle w:val="Normal"/>
        <w:widowControl/>
        <w:numPr>
          <w:ilvl w:val="1"/>
          <w:numId w:val="4"/>
        </w:numPr>
        <w:suppressAutoHyphens w:val="true"/>
        <w:bidi w:val="0"/>
        <w:spacing w:lineRule="auto" w:line="360" w:before="0" w:after="0"/>
        <w:ind w:hanging="340" w:left="680" w:right="0"/>
        <w:jc w:val="both"/>
        <w:rPr>
          <w:rFonts w:ascii="Aptos" w:hAnsi="Aptos"/>
        </w:rPr>
      </w:pPr>
      <w:r>
        <w:rPr>
          <w:rFonts w:ascii="Aptos" w:hAnsi="Aptos"/>
        </w:rPr>
        <w:t>zraszania w okresie bezdeszczowym składowisk materiałów sypkich,</w:t>
      </w:r>
    </w:p>
    <w:p>
      <w:pPr>
        <w:pStyle w:val="Normal"/>
        <w:widowControl/>
        <w:numPr>
          <w:ilvl w:val="1"/>
          <w:numId w:val="4"/>
        </w:numPr>
        <w:suppressAutoHyphens w:val="true"/>
        <w:bidi w:val="0"/>
        <w:spacing w:lineRule="auto" w:line="360" w:before="0" w:after="0"/>
        <w:ind w:hanging="340" w:left="680" w:right="0"/>
        <w:jc w:val="both"/>
        <w:rPr>
          <w:rFonts w:ascii="Aptos" w:hAnsi="Aptos"/>
        </w:rPr>
      </w:pPr>
      <w:r>
        <w:rPr>
          <w:rFonts w:ascii="Aptos" w:hAnsi="Aptos"/>
        </w:rPr>
        <w:t>stosowania stanowisk do usuwania gruntu lub błota z kół sprzętu ciężkiego opuszczających plac budowy,</w:t>
      </w:r>
    </w:p>
    <w:p>
      <w:pPr>
        <w:pStyle w:val="Normal"/>
        <w:widowControl/>
        <w:numPr>
          <w:ilvl w:val="1"/>
          <w:numId w:val="4"/>
        </w:numPr>
        <w:suppressAutoHyphens w:val="true"/>
        <w:bidi w:val="0"/>
        <w:spacing w:lineRule="auto" w:line="360" w:before="0" w:after="0"/>
        <w:ind w:hanging="340" w:left="680" w:right="0"/>
        <w:jc w:val="both"/>
        <w:rPr>
          <w:rFonts w:ascii="Aptos" w:hAnsi="Aptos"/>
        </w:rPr>
      </w:pPr>
      <w:r>
        <w:rPr>
          <w:rFonts w:ascii="Aptos" w:hAnsi="Aptos"/>
        </w:rPr>
        <w:t>stosowania cięcia elementów betonowych na "mokro",</w:t>
      </w:r>
    </w:p>
    <w:p>
      <w:pPr>
        <w:pStyle w:val="Normal"/>
        <w:widowControl/>
        <w:numPr>
          <w:ilvl w:val="1"/>
          <w:numId w:val="4"/>
        </w:numPr>
        <w:suppressAutoHyphens w:val="true"/>
        <w:bidi w:val="0"/>
        <w:spacing w:lineRule="auto" w:line="360" w:before="0" w:after="0"/>
        <w:ind w:hanging="340" w:left="680" w:right="0"/>
        <w:jc w:val="both"/>
        <w:rPr>
          <w:rFonts w:ascii="Aptos" w:hAnsi="Aptos"/>
        </w:rPr>
      </w:pPr>
      <w:r>
        <w:rPr>
          <w:rFonts w:ascii="Aptos" w:hAnsi="Aptos"/>
        </w:rPr>
        <w:t>stosowania przykrycia przy przewożeniu materiałów pylących.</w:t>
      </w:r>
    </w:p>
    <w:p>
      <w:pPr>
        <w:pStyle w:val="Normal"/>
        <w:widowControl/>
        <w:numPr>
          <w:ilvl w:val="0"/>
          <w:numId w:val="4"/>
        </w:numPr>
        <w:suppressAutoHyphens w:val="true"/>
        <w:bidi w:val="0"/>
        <w:spacing w:lineRule="auto" w:line="360" w:before="0" w:after="0"/>
        <w:ind w:hanging="340" w:left="340" w:right="0"/>
        <w:jc w:val="both"/>
        <w:rPr>
          <w:rFonts w:ascii="Aptos" w:hAnsi="Aptos"/>
        </w:rPr>
      </w:pPr>
      <w:r>
        <w:rPr>
          <w:rFonts w:ascii="Aptos" w:hAnsi="Aptos"/>
        </w:rPr>
        <w:t>Minimalny wymagany okres gwarancji wynosi 60 miesięcy, licząc od daty podpisania końcowego protokołu odbioru.</w:t>
      </w:r>
    </w:p>
    <w:p>
      <w:pPr>
        <w:pStyle w:val="Normal"/>
        <w:spacing w:lineRule="auto" w:line="360"/>
        <w:jc w:val="both"/>
        <w:rPr>
          <w:rFonts w:ascii="Aptos" w:hAnsi="Aptos" w:eastAsia="Calibri" w:cs="Liberation Serif;Times New Roma"/>
          <w:color w:val="auto"/>
        </w:rPr>
      </w:pPr>
      <w:r>
        <w:rPr>
          <w:rFonts w:eastAsia="Calibri" w:cs="Liberation Serif;Times New Roma" w:ascii="Aptos" w:hAnsi="Aptos"/>
          <w:color w:val="auto"/>
        </w:rPr>
      </w:r>
    </w:p>
    <w:p>
      <w:pPr>
        <w:pStyle w:val="Normal"/>
        <w:numPr>
          <w:ilvl w:val="0"/>
          <w:numId w:val="3"/>
        </w:numPr>
        <w:spacing w:lineRule="auto" w:line="360"/>
        <w:jc w:val="both"/>
        <w:rPr>
          <w:rFonts w:ascii="Aptos" w:hAnsi="Aptos"/>
        </w:rPr>
      </w:pPr>
      <w:r>
        <w:rPr>
          <w:rFonts w:ascii="Aptos" w:hAnsi="Aptos"/>
          <w:b/>
          <w:bCs/>
          <w:sz w:val="24"/>
          <w:szCs w:val="24"/>
          <w:shd w:fill="auto" w:val="clear"/>
        </w:rPr>
        <w:t>Informacja o przedmiotowych środkach dowodowych.</w:t>
      </w:r>
    </w:p>
    <w:p>
      <w:pPr>
        <w:pStyle w:val="Normal"/>
        <w:spacing w:lineRule="auto" w:line="360"/>
        <w:jc w:val="both"/>
        <w:rPr>
          <w:rFonts w:ascii="Aptos" w:hAnsi="Aptos"/>
          <w:sz w:val="24"/>
          <w:szCs w:val="24"/>
          <w:shd w:fill="auto" w:val="clear"/>
        </w:rPr>
      </w:pPr>
      <w:r>
        <w:rPr>
          <w:rFonts w:ascii="Aptos" w:hAnsi="Aptos"/>
          <w:sz w:val="24"/>
          <w:szCs w:val="24"/>
          <w:shd w:fill="auto" w:val="clear"/>
        </w:rPr>
      </w:r>
    </w:p>
    <w:p>
      <w:pPr>
        <w:pStyle w:val="Normal"/>
        <w:spacing w:lineRule="auto" w:line="360"/>
        <w:jc w:val="both"/>
        <w:rPr>
          <w:rFonts w:ascii="Aptos" w:hAnsi="Aptos"/>
        </w:rPr>
      </w:pPr>
      <w:r>
        <w:rPr>
          <w:rFonts w:ascii="Aptos" w:hAnsi="Aptos"/>
          <w:b w:val="false"/>
          <w:bCs w:val="false"/>
          <w:sz w:val="24"/>
          <w:szCs w:val="24"/>
          <w:shd w:fill="auto" w:val="clear"/>
        </w:rPr>
        <w:t>Zamawiający nie wymaga złożenia przez Wykonawcę przedmiotowych środków dowodowych.</w:t>
      </w:r>
    </w:p>
    <w:p>
      <w:pPr>
        <w:pStyle w:val="Normal"/>
        <w:spacing w:lineRule="auto" w:line="360"/>
        <w:jc w:val="both"/>
        <w:rPr>
          <w:rFonts w:ascii="Aptos" w:hAnsi="Aptos"/>
          <w:sz w:val="24"/>
          <w:szCs w:val="24"/>
          <w:shd w:fill="auto" w:val="clear"/>
        </w:rPr>
      </w:pPr>
      <w:r>
        <w:rPr>
          <w:rFonts w:ascii="Aptos" w:hAnsi="Aptos"/>
          <w:sz w:val="24"/>
          <w:szCs w:val="24"/>
          <w:shd w:fill="auto" w:val="clear"/>
        </w:rPr>
      </w:r>
    </w:p>
    <w:p>
      <w:pPr>
        <w:pStyle w:val="Normal"/>
        <w:numPr>
          <w:ilvl w:val="0"/>
          <w:numId w:val="3"/>
        </w:numPr>
        <w:spacing w:lineRule="auto" w:line="360"/>
        <w:jc w:val="both"/>
        <w:rPr>
          <w:rFonts w:ascii="Aptos" w:hAnsi="Aptos"/>
        </w:rPr>
      </w:pPr>
      <w:r>
        <w:rPr>
          <w:rFonts w:ascii="Aptos" w:hAnsi="Aptos"/>
          <w:b/>
          <w:bCs/>
          <w:sz w:val="24"/>
          <w:szCs w:val="24"/>
          <w:shd w:fill="auto" w:val="clear"/>
        </w:rPr>
        <w:t>Termin wykonania zamówienia.</w:t>
      </w:r>
    </w:p>
    <w:p>
      <w:pPr>
        <w:pStyle w:val="Normal"/>
        <w:spacing w:lineRule="auto" w:line="360"/>
        <w:jc w:val="both"/>
        <w:rPr>
          <w:rFonts w:ascii="Aptos" w:hAnsi="Aptos"/>
          <w:b w:val="false"/>
          <w:bCs w:val="false"/>
          <w:sz w:val="24"/>
          <w:szCs w:val="24"/>
          <w:highlight w:val="none"/>
          <w:shd w:fill="auto" w:val="clear"/>
        </w:rPr>
      </w:pPr>
      <w:r>
        <w:rPr>
          <w:rFonts w:ascii="Aptos" w:hAnsi="Aptos"/>
          <w:b w:val="false"/>
          <w:bCs w:val="false"/>
          <w:sz w:val="24"/>
          <w:szCs w:val="24"/>
          <w:shd w:fill="auto" w:val="clear"/>
        </w:rPr>
      </w:r>
    </w:p>
    <w:p>
      <w:pPr>
        <w:pStyle w:val="Normal"/>
        <w:widowControl/>
        <w:numPr>
          <w:ilvl w:val="0"/>
          <w:numId w:val="16"/>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Termin wykonania przedmiotu zamówienia ustala się na dzień:</w:t>
      </w:r>
    </w:p>
    <w:p>
      <w:pPr>
        <w:pStyle w:val="Normal"/>
        <w:widowControl/>
        <w:numPr>
          <w:ilvl w:val="1"/>
          <w:numId w:val="16"/>
        </w:numPr>
        <w:suppressAutoHyphens w:val="true"/>
        <w:bidi w:val="0"/>
        <w:spacing w:lineRule="auto" w:line="360" w:before="0" w:after="0"/>
        <w:ind w:hanging="340" w:left="737" w:right="0"/>
        <w:jc w:val="both"/>
        <w:rPr>
          <w:rFonts w:ascii="Aptos" w:hAnsi="Aptos"/>
        </w:rPr>
      </w:pPr>
      <w:r>
        <w:rPr>
          <w:rFonts w:ascii="Aptos" w:hAnsi="Aptos"/>
          <w:b w:val="false"/>
          <w:bCs w:val="false"/>
          <w:sz w:val="24"/>
          <w:szCs w:val="24"/>
          <w:shd w:fill="auto" w:val="clear"/>
        </w:rPr>
        <w:t>Część nr 1: 29.11.2024 r.;</w:t>
      </w:r>
    </w:p>
    <w:p>
      <w:pPr>
        <w:pStyle w:val="Normal"/>
        <w:widowControl/>
        <w:numPr>
          <w:ilvl w:val="1"/>
          <w:numId w:val="16"/>
        </w:numPr>
        <w:suppressAutoHyphens w:val="true"/>
        <w:bidi w:val="0"/>
        <w:spacing w:lineRule="auto" w:line="360" w:before="0" w:after="0"/>
        <w:ind w:hanging="340" w:left="737" w:right="0"/>
        <w:jc w:val="both"/>
        <w:rPr>
          <w:rFonts w:ascii="Aptos" w:hAnsi="Aptos"/>
        </w:rPr>
      </w:pPr>
      <w:r>
        <w:rPr>
          <w:rFonts w:ascii="Aptos" w:hAnsi="Aptos"/>
          <w:b w:val="false"/>
          <w:bCs w:val="false"/>
          <w:sz w:val="24"/>
          <w:szCs w:val="24"/>
          <w:shd w:fill="auto" w:val="clear"/>
        </w:rPr>
        <w:t>Część nr 1: 20.12.2024 r.</w:t>
      </w:r>
    </w:p>
    <w:p>
      <w:pPr>
        <w:pStyle w:val="Normal"/>
        <w:spacing w:lineRule="auto" w:line="360"/>
        <w:jc w:val="both"/>
        <w:rPr>
          <w:rFonts w:ascii="Aptos" w:hAnsi="Aptos"/>
          <w:b w:val="false"/>
          <w:bCs w:val="false"/>
          <w:sz w:val="24"/>
          <w:szCs w:val="24"/>
          <w:highlight w:val="none"/>
          <w:shd w:fill="auto" w:val="clear"/>
        </w:rPr>
      </w:pPr>
      <w:r>
        <w:rPr>
          <w:rFonts w:ascii="Aptos" w:hAnsi="Aptos"/>
          <w:b w:val="false"/>
          <w:bCs w:val="false"/>
          <w:sz w:val="24"/>
          <w:szCs w:val="24"/>
          <w:shd w:fill="auto" w:val="clear"/>
        </w:rPr>
      </w:r>
    </w:p>
    <w:p>
      <w:pPr>
        <w:pStyle w:val="Normal"/>
        <w:numPr>
          <w:ilvl w:val="0"/>
          <w:numId w:val="3"/>
        </w:numPr>
        <w:spacing w:lineRule="auto" w:line="360"/>
        <w:jc w:val="both"/>
        <w:rPr>
          <w:rFonts w:ascii="Aptos" w:hAnsi="Aptos"/>
        </w:rPr>
      </w:pPr>
      <w:r>
        <w:rPr>
          <w:rFonts w:ascii="Aptos" w:hAnsi="Aptos"/>
          <w:b/>
          <w:bCs/>
          <w:sz w:val="24"/>
          <w:szCs w:val="24"/>
          <w:shd w:fill="auto" w:val="clear"/>
        </w:rPr>
        <w:t>Podstawy wykluczenia, o których mowa w art. 108 Pzp.</w:t>
      </w:r>
    </w:p>
    <w:p>
      <w:pPr>
        <w:pStyle w:val="Normal"/>
        <w:spacing w:lineRule="auto" w:line="360"/>
        <w:jc w:val="both"/>
        <w:rPr>
          <w:rFonts w:ascii="Aptos" w:hAnsi="Aptos"/>
          <w:b w:val="false"/>
          <w:bCs w:val="false"/>
          <w:sz w:val="24"/>
          <w:szCs w:val="24"/>
          <w:highlight w:val="none"/>
          <w:shd w:fill="auto" w:val="clear"/>
        </w:rPr>
      </w:pPr>
      <w:r>
        <w:rPr>
          <w:rFonts w:ascii="Aptos" w:hAnsi="Aptos"/>
          <w:b w:val="false"/>
          <w:bCs w:val="false"/>
          <w:sz w:val="24"/>
          <w:szCs w:val="24"/>
          <w:shd w:fill="auto" w:val="clear"/>
        </w:rPr>
      </w:r>
    </w:p>
    <w:p>
      <w:pPr>
        <w:pStyle w:val="Normal"/>
        <w:widowControl/>
        <w:numPr>
          <w:ilvl w:val="0"/>
          <w:numId w:val="14"/>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Z postępowania o udzielenie zamówienia wyklucza się wykonawcę:</w:t>
      </w:r>
    </w:p>
    <w:p>
      <w:pPr>
        <w:pStyle w:val="Normal"/>
        <w:widowControl/>
        <w:numPr>
          <w:ilvl w:val="1"/>
          <w:numId w:val="14"/>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będącego osobą fizyczną, którego prawomocnie skazano za przestępstwo:</w:t>
      </w:r>
    </w:p>
    <w:p>
      <w:pPr>
        <w:pStyle w:val="Normal"/>
        <w:numPr>
          <w:ilvl w:val="2"/>
          <w:numId w:val="14"/>
        </w:numPr>
        <w:spacing w:lineRule="auto" w:line="360"/>
        <w:ind w:hanging="340" w:left="1020"/>
        <w:jc w:val="both"/>
        <w:rPr>
          <w:rFonts w:ascii="Aptos" w:hAnsi="Aptos"/>
        </w:rPr>
      </w:pPr>
      <w:r>
        <w:rPr>
          <w:rFonts w:ascii="Aptos" w:hAnsi="Aptos"/>
        </w:rPr>
        <w:t>udziału w zorganizowanej grupie przestępczej albo związku mającym na celu popełnienie przestępstwa lub przestępstwa skarbowego, o którym mowa w art. 258 Kodeksu karnego,</w:t>
      </w:r>
    </w:p>
    <w:p>
      <w:pPr>
        <w:pStyle w:val="Normal"/>
        <w:numPr>
          <w:ilvl w:val="2"/>
          <w:numId w:val="14"/>
        </w:numPr>
        <w:spacing w:lineRule="auto" w:line="360"/>
        <w:ind w:hanging="340" w:left="1020"/>
        <w:jc w:val="both"/>
        <w:rPr>
          <w:rFonts w:ascii="Aptos" w:hAnsi="Aptos"/>
        </w:rPr>
      </w:pPr>
      <w:r>
        <w:rPr>
          <w:rFonts w:ascii="Aptos" w:hAnsi="Aptos"/>
        </w:rPr>
        <w:t>handlu ludźmi, o którym mowa w art. 189a Kodeksu karnego,</w:t>
      </w:r>
    </w:p>
    <w:p>
      <w:pPr>
        <w:pStyle w:val="Normal"/>
        <w:numPr>
          <w:ilvl w:val="2"/>
          <w:numId w:val="14"/>
        </w:numPr>
        <w:spacing w:lineRule="auto" w:line="360"/>
        <w:ind w:hanging="340" w:left="1020"/>
        <w:jc w:val="both"/>
        <w:rPr>
          <w:rFonts w:ascii="Aptos" w:hAnsi="Aptos"/>
        </w:rPr>
      </w:pPr>
      <w:r>
        <w:rPr>
          <w:rFonts w:ascii="Aptos" w:hAnsi="Aptos"/>
        </w:rPr>
        <w:t>o którym mowa w art. 228-230a, art. 250a Kodeksu karnego, w art. 46-48 ustawy z dnia 25 czerwca 2010 r. o sporcie(Dz.U. z 2023 r. poz. 2048 oraz z 2024 r. poz. 1166) lub w art. 54 ust. 1-4 ustawy z dnia 12 maja 2011 r. o refundacji leków, środków spożywczych specjalnego przeznaczenia żywieniowego oraz wyrobów medycznych (Dz.U. z 2024 r. poz. 930),</w:t>
      </w:r>
    </w:p>
    <w:p>
      <w:pPr>
        <w:pStyle w:val="Normal"/>
        <w:numPr>
          <w:ilvl w:val="2"/>
          <w:numId w:val="14"/>
        </w:numPr>
        <w:spacing w:lineRule="auto" w:line="360"/>
        <w:ind w:hanging="340" w:left="1020"/>
        <w:jc w:val="both"/>
        <w:rPr>
          <w:rFonts w:ascii="Aptos" w:hAnsi="Aptos"/>
        </w:rPr>
      </w:pPr>
      <w:r>
        <w:rPr>
          <w:rFonts w:ascii="Aptos" w:hAnsi="Aptos"/>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pPr>
        <w:pStyle w:val="Normal"/>
        <w:numPr>
          <w:ilvl w:val="2"/>
          <w:numId w:val="14"/>
        </w:numPr>
        <w:spacing w:lineRule="auto" w:line="360"/>
        <w:ind w:hanging="340" w:left="1020"/>
        <w:jc w:val="both"/>
        <w:rPr>
          <w:rFonts w:ascii="Aptos" w:hAnsi="Aptos"/>
        </w:rPr>
      </w:pPr>
      <w:r>
        <w:rPr>
          <w:rFonts w:ascii="Aptos" w:hAnsi="Aptos"/>
        </w:rPr>
        <w:t>o charakterze terrorystycznym, o którym mowa w art. 115 § 20 Kodeksu karnego, lub mające na celu popełnienie tego przestępstwa,</w:t>
      </w:r>
    </w:p>
    <w:p>
      <w:pPr>
        <w:pStyle w:val="Normal"/>
        <w:numPr>
          <w:ilvl w:val="2"/>
          <w:numId w:val="14"/>
        </w:numPr>
        <w:spacing w:lineRule="auto" w:line="360"/>
        <w:ind w:hanging="340" w:left="1020"/>
        <w:jc w:val="both"/>
        <w:rPr>
          <w:rFonts w:ascii="Aptos" w:hAnsi="Aptos"/>
        </w:rPr>
      </w:pPr>
      <w:r>
        <w:rPr>
          <w:rFonts w:ascii="Aptos" w:hAnsi="Aptos"/>
        </w:rPr>
        <w:t>powierzenia wykonywania pracy małoletniemu cudzoziemcowi, o którym mowa w art. 9 ust. 2 ustawy z dnia 15 czerwca 2012 r. o skutkach powierzania wykonywania pracy cudzoziemcom przebywającym wbrew przepisom na terytorium Rzeczypospolitej Polskiej (Dz.U. z 2021 r. poz. 1745),</w:t>
      </w:r>
    </w:p>
    <w:p>
      <w:pPr>
        <w:pStyle w:val="Normal"/>
        <w:numPr>
          <w:ilvl w:val="2"/>
          <w:numId w:val="14"/>
        </w:numPr>
        <w:spacing w:lineRule="auto" w:line="360"/>
        <w:ind w:hanging="340" w:left="1020"/>
        <w:jc w:val="both"/>
        <w:rPr>
          <w:rFonts w:ascii="Aptos" w:hAnsi="Aptos"/>
        </w:rPr>
      </w:pPr>
      <w:r>
        <w:rPr>
          <w:rFonts w:ascii="Aptos" w:hAnsi="Aptos"/>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pPr>
        <w:pStyle w:val="Normal"/>
        <w:numPr>
          <w:ilvl w:val="2"/>
          <w:numId w:val="14"/>
        </w:numPr>
        <w:spacing w:lineRule="auto" w:line="360"/>
        <w:ind w:hanging="340" w:left="1020"/>
        <w:jc w:val="both"/>
        <w:rPr>
          <w:rFonts w:ascii="Aptos" w:hAnsi="Aptos"/>
        </w:rPr>
      </w:pPr>
      <w:r>
        <w:rPr>
          <w:rFonts w:ascii="Aptos" w:hAnsi="Aptos"/>
        </w:rPr>
        <w:t xml:space="preserve">o którym mowa w art. 9 ust. 1 i 3 lub art. 10 ustawy z dnia 15 czerwca 2012 r. o skutkach powierzania wykonywania pracy cudzoziemcom przebywającym wbrew przepisom na terytorium Rzeczypospolitej Polskiej </w:t>
      </w:r>
    </w:p>
    <w:p>
      <w:pPr>
        <w:pStyle w:val="Normal"/>
        <w:spacing w:lineRule="auto" w:line="360"/>
        <w:ind w:hanging="0" w:left="680"/>
        <w:jc w:val="both"/>
        <w:rPr>
          <w:rFonts w:ascii="Aptos" w:hAnsi="Aptos"/>
        </w:rPr>
      </w:pPr>
      <w:r>
        <w:rPr>
          <w:rFonts w:ascii="Aptos" w:hAnsi="Aptos"/>
          <w:b w:val="false"/>
          <w:bCs w:val="false"/>
          <w:sz w:val="24"/>
          <w:szCs w:val="24"/>
          <w:shd w:fill="auto" w:val="clear"/>
        </w:rPr>
        <w:t>- lub za odpowiedni czyn zabroniony określony w przepisach prawa obcego;</w:t>
      </w:r>
    </w:p>
    <w:p>
      <w:pPr>
        <w:pStyle w:val="Normal"/>
        <w:widowControl/>
        <w:numPr>
          <w:ilvl w:val="1"/>
          <w:numId w:val="14"/>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pPr>
        <w:pStyle w:val="Normal"/>
        <w:widowControl/>
        <w:numPr>
          <w:ilvl w:val="1"/>
          <w:numId w:val="14"/>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pPr>
        <w:pStyle w:val="Normal"/>
        <w:widowControl/>
        <w:numPr>
          <w:ilvl w:val="1"/>
          <w:numId w:val="14"/>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wobec którego prawomocnie orzeczono zakaz ubiegania się o zamówienia publiczne;</w:t>
      </w:r>
    </w:p>
    <w:p>
      <w:pPr>
        <w:pStyle w:val="Normal"/>
        <w:widowControl/>
        <w:numPr>
          <w:ilvl w:val="1"/>
          <w:numId w:val="14"/>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pPr>
        <w:pStyle w:val="Normal"/>
        <w:widowControl/>
        <w:numPr>
          <w:ilvl w:val="1"/>
          <w:numId w:val="14"/>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jeżeli, w przypadkach, o których mowa w art. 85 ust. 1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pPr>
        <w:pStyle w:val="Normal"/>
        <w:widowControl/>
        <w:numPr>
          <w:ilvl w:val="0"/>
          <w:numId w:val="14"/>
        </w:numPr>
        <w:suppressAutoHyphens w:val="true"/>
        <w:bidi w:val="0"/>
        <w:spacing w:lineRule="auto" w:line="360" w:before="0" w:after="0"/>
        <w:ind w:hanging="340" w:left="340" w:right="0"/>
        <w:jc w:val="both"/>
        <w:rPr>
          <w:rFonts w:ascii="Aptos" w:hAnsi="Aptos"/>
        </w:rPr>
      </w:pPr>
      <w:r>
        <w:rPr>
          <w:rFonts w:ascii="Aptos" w:hAnsi="Aptos"/>
          <w:shd w:fill="auto" w:val="clear"/>
        </w:rPr>
        <w:t>Zamawiający na podstawie art. 7 ust. 1 ustawy z dnia 13 kwietnia 2022 r. o szczególnych rozwiązaniach w zakresie przeciwdziałania wspieraniu agresji na Ukrainę oraz służących ochronie bezpieczeństwa narodowego (Dz.U. z 2024 r. poz. 507), zwanej dalej Ustawą, wykluczy również:</w:t>
      </w:r>
    </w:p>
    <w:p>
      <w:pPr>
        <w:pStyle w:val="Normal"/>
        <w:widowControl/>
        <w:numPr>
          <w:ilvl w:val="1"/>
          <w:numId w:val="14"/>
        </w:numPr>
        <w:suppressAutoHyphens w:val="true"/>
        <w:bidi w:val="0"/>
        <w:spacing w:lineRule="auto" w:line="360" w:before="0" w:after="0"/>
        <w:ind w:hanging="340" w:left="680" w:right="0"/>
        <w:jc w:val="both"/>
        <w:rPr>
          <w:rFonts w:ascii="Aptos" w:hAnsi="Aptos"/>
        </w:rPr>
      </w:pPr>
      <w:r>
        <w:rPr>
          <w:rFonts w:ascii="Aptos" w:hAnsi="Aptos"/>
          <w:shd w:fill="auto" w:val="clear"/>
        </w:rPr>
        <w:t>wykonawcę oraz uczestnika konkursu wymienionego w wykazach określonych w rozporządzeniu 765/2006 i rozporządzeniu 269/2014 albo wpisanego na listę na podstawie decyzji w sprawie wpisu na listę rozstrzygającej o zastosowaniu środka, o którym mowa w art. 1 pkt 3 ww. rozporządzenia;</w:t>
      </w:r>
    </w:p>
    <w:p>
      <w:pPr>
        <w:pStyle w:val="Normal"/>
        <w:widowControl/>
        <w:numPr>
          <w:ilvl w:val="1"/>
          <w:numId w:val="14"/>
        </w:numPr>
        <w:suppressAutoHyphens w:val="true"/>
        <w:bidi w:val="0"/>
        <w:spacing w:lineRule="auto" w:line="360" w:before="0" w:after="0"/>
        <w:ind w:hanging="340" w:left="680" w:right="0"/>
        <w:jc w:val="both"/>
        <w:rPr>
          <w:rFonts w:ascii="Aptos" w:hAnsi="Aptos"/>
        </w:rPr>
      </w:pPr>
      <w:r>
        <w:rPr>
          <w:rFonts w:ascii="Aptos" w:hAnsi="Aptos"/>
          <w:shd w:fill="auto" w:val="clear"/>
        </w:rPr>
        <w:t>wykonawcę oraz uczestnika konkursu, którego beneficjentem rzeczywistym w rozumieniu ustawy z dnia 1 marca 2018 r. o przeciwdziałaniu praniu pieniędzy oraz finansowaniu terroryzmu (Dz.U. z 2023 r. poz. 1124, 1285, 1723 i 1843)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rozporządzenia;</w:t>
      </w:r>
    </w:p>
    <w:p>
      <w:pPr>
        <w:pStyle w:val="Normal"/>
        <w:widowControl/>
        <w:numPr>
          <w:ilvl w:val="1"/>
          <w:numId w:val="14"/>
        </w:numPr>
        <w:suppressAutoHyphens w:val="true"/>
        <w:bidi w:val="0"/>
        <w:spacing w:lineRule="auto" w:line="360" w:before="0" w:after="0"/>
        <w:ind w:hanging="340" w:left="680" w:right="0"/>
        <w:jc w:val="both"/>
        <w:rPr>
          <w:rFonts w:ascii="Aptos" w:hAnsi="Aptos"/>
        </w:rPr>
      </w:pPr>
      <w:r>
        <w:rPr>
          <w:rFonts w:ascii="Aptos" w:hAnsi="Aptos"/>
          <w:shd w:fill="auto" w:val="clear"/>
        </w:rPr>
        <w:t>wykonawcę oraz uczestnika konkursu, którego jednostką dominującą w rozumieniu art. 3 ust. 1 pkt 37 ustawy z dnia 29 września 1994 r. o rachunkowości (Dz.U. z 2023 r. poz. 120, 295 i 1598)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rozporządzenia.</w:t>
      </w:r>
    </w:p>
    <w:p>
      <w:pPr>
        <w:pStyle w:val="Normal"/>
        <w:widowControl/>
        <w:numPr>
          <w:ilvl w:val="0"/>
          <w:numId w:val="14"/>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Wykonawca może zostać wykluczony przez zamawiającego na każdym etapie postępowania o udzielenie zamówienia.</w:t>
      </w:r>
    </w:p>
    <w:p>
      <w:pPr>
        <w:pStyle w:val="Normal"/>
        <w:widowControl/>
        <w:numPr>
          <w:ilvl w:val="0"/>
          <w:numId w:val="14"/>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Wykonawca nie podlega wykluczeniu w okolicznościach określonych w ust. 1 pkt 1, 2, 5 i 6 lub dział XXII ust. 1 niniejszej SWZ, jeżeli udowodni zamawiającemu, że spełnił łącznie następujące przesłanki:</w:t>
      </w:r>
    </w:p>
    <w:p>
      <w:pPr>
        <w:pStyle w:val="Normal"/>
        <w:widowControl/>
        <w:numPr>
          <w:ilvl w:val="2"/>
          <w:numId w:val="3"/>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naprawił lub zobowiązał się do naprawienia szkody wyrządzonej przestępstwem, wykroczeniem lub swoim nieprawidłowym postępowaniem, w tym poprzez zadośćuczynienie pieniężne;</w:t>
      </w:r>
    </w:p>
    <w:p>
      <w:pPr>
        <w:pStyle w:val="Normal"/>
        <w:widowControl/>
        <w:numPr>
          <w:ilvl w:val="2"/>
          <w:numId w:val="3"/>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pPr>
        <w:pStyle w:val="Normal"/>
        <w:widowControl/>
        <w:numPr>
          <w:ilvl w:val="2"/>
          <w:numId w:val="3"/>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podjął konkretne środki techniczne, organizacyjne i kadrowe, odpowiednie dla zapobiegania dalszym przestępstwom, wykroczeniom lub nieprawidłowemu postępowaniu, w szczególności:</w:t>
      </w:r>
    </w:p>
    <w:p>
      <w:pPr>
        <w:pStyle w:val="Normal"/>
        <w:widowControl/>
        <w:numPr>
          <w:ilvl w:val="3"/>
          <w:numId w:val="3"/>
        </w:numPr>
        <w:suppressAutoHyphens w:val="true"/>
        <w:bidi w:val="0"/>
        <w:spacing w:lineRule="auto" w:line="360" w:before="0" w:after="0"/>
        <w:ind w:hanging="340" w:left="1020" w:right="0"/>
        <w:jc w:val="both"/>
        <w:rPr>
          <w:rFonts w:ascii="Aptos" w:hAnsi="Aptos"/>
        </w:rPr>
      </w:pPr>
      <w:r>
        <w:rPr>
          <w:rFonts w:ascii="Aptos" w:hAnsi="Aptos"/>
          <w:b w:val="false"/>
          <w:bCs w:val="false"/>
          <w:sz w:val="24"/>
          <w:szCs w:val="24"/>
          <w:shd w:fill="auto" w:val="clear"/>
        </w:rPr>
        <w:t>zerwał wszelkie powiązania z osobami lub podmiotami odpowiedzialnymi za nieprawidłowe postępowanie wykonawcy,</w:t>
      </w:r>
    </w:p>
    <w:p>
      <w:pPr>
        <w:pStyle w:val="Normal"/>
        <w:widowControl/>
        <w:numPr>
          <w:ilvl w:val="3"/>
          <w:numId w:val="3"/>
        </w:numPr>
        <w:suppressAutoHyphens w:val="true"/>
        <w:bidi w:val="0"/>
        <w:spacing w:lineRule="auto" w:line="360" w:before="0" w:after="0"/>
        <w:ind w:hanging="340" w:left="1020" w:right="0"/>
        <w:jc w:val="both"/>
        <w:rPr>
          <w:rFonts w:ascii="Aptos" w:hAnsi="Aptos"/>
        </w:rPr>
      </w:pPr>
      <w:r>
        <w:rPr>
          <w:rFonts w:ascii="Aptos" w:hAnsi="Aptos"/>
          <w:b w:val="false"/>
          <w:bCs w:val="false"/>
          <w:sz w:val="24"/>
          <w:szCs w:val="24"/>
          <w:shd w:fill="auto" w:val="clear"/>
        </w:rPr>
        <w:t>zreorganizował personel,</w:t>
      </w:r>
    </w:p>
    <w:p>
      <w:pPr>
        <w:pStyle w:val="Normal"/>
        <w:widowControl/>
        <w:numPr>
          <w:ilvl w:val="3"/>
          <w:numId w:val="3"/>
        </w:numPr>
        <w:suppressAutoHyphens w:val="true"/>
        <w:bidi w:val="0"/>
        <w:spacing w:lineRule="auto" w:line="360" w:before="0" w:after="0"/>
        <w:ind w:hanging="340" w:left="1020" w:right="0"/>
        <w:jc w:val="both"/>
        <w:rPr>
          <w:rFonts w:ascii="Aptos" w:hAnsi="Aptos"/>
        </w:rPr>
      </w:pPr>
      <w:r>
        <w:rPr>
          <w:rFonts w:ascii="Aptos" w:hAnsi="Aptos"/>
          <w:b w:val="false"/>
          <w:bCs w:val="false"/>
          <w:sz w:val="24"/>
          <w:szCs w:val="24"/>
          <w:shd w:fill="auto" w:val="clear"/>
        </w:rPr>
        <w:t>wdrożył system sprawozdawczości i kontroli,</w:t>
      </w:r>
    </w:p>
    <w:p>
      <w:pPr>
        <w:pStyle w:val="Normal"/>
        <w:widowControl/>
        <w:numPr>
          <w:ilvl w:val="3"/>
          <w:numId w:val="3"/>
        </w:numPr>
        <w:suppressAutoHyphens w:val="true"/>
        <w:bidi w:val="0"/>
        <w:spacing w:lineRule="auto" w:line="360" w:before="0" w:after="0"/>
        <w:ind w:hanging="340" w:left="1020" w:right="0"/>
        <w:jc w:val="both"/>
        <w:rPr>
          <w:rFonts w:ascii="Aptos" w:hAnsi="Aptos"/>
        </w:rPr>
      </w:pPr>
      <w:r>
        <w:rPr>
          <w:rFonts w:ascii="Aptos" w:hAnsi="Aptos"/>
          <w:b w:val="false"/>
          <w:bCs w:val="false"/>
          <w:sz w:val="24"/>
          <w:szCs w:val="24"/>
          <w:shd w:fill="auto" w:val="clear"/>
        </w:rPr>
        <w:t>utworzył struktury audytu wewnętrznego do monitorowania przestrzegania przepisów, wewnętrznych regulacji lub standardów,</w:t>
      </w:r>
    </w:p>
    <w:p>
      <w:pPr>
        <w:pStyle w:val="Normal"/>
        <w:widowControl/>
        <w:numPr>
          <w:ilvl w:val="3"/>
          <w:numId w:val="3"/>
        </w:numPr>
        <w:suppressAutoHyphens w:val="true"/>
        <w:bidi w:val="0"/>
        <w:spacing w:lineRule="auto" w:line="360" w:before="0" w:after="0"/>
        <w:ind w:hanging="340" w:left="1020" w:right="0"/>
        <w:jc w:val="both"/>
        <w:rPr>
          <w:rFonts w:ascii="Aptos" w:hAnsi="Aptos"/>
        </w:rPr>
      </w:pPr>
      <w:r>
        <w:rPr>
          <w:rFonts w:ascii="Aptos" w:hAnsi="Aptos"/>
          <w:b w:val="false"/>
          <w:bCs w:val="false"/>
          <w:sz w:val="24"/>
          <w:szCs w:val="24"/>
          <w:shd w:fill="auto" w:val="clear"/>
        </w:rPr>
        <w:t>wprowadził wewnętrzne regulacje dotyczące odpowiedzialności i odszkodowań za nieprzestrzeganie przepisów, wewnętrznych regulacji lub standardów.</w:t>
      </w:r>
    </w:p>
    <w:p>
      <w:pPr>
        <w:pStyle w:val="Normal"/>
        <w:widowControl/>
        <w:numPr>
          <w:ilvl w:val="2"/>
          <w:numId w:val="3"/>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Zamawiający ocenia, czy podjęte przez wykonawcę czynności, o których mowa w ust. 5, są wystarczające do wykazania jego rzetelności, uwzględniając wagę i szczególne okoliczności czynu wykonawcy. Jeżeli podjęte przez wykonawcę czynności, o których mowa w ust. 5, nie są wystarczające do wykazania jego rzetelności, zamawiający wyklucza wykonawcę.</w:t>
      </w:r>
    </w:p>
    <w:p>
      <w:pPr>
        <w:pStyle w:val="Normal"/>
        <w:widowControl/>
        <w:numPr>
          <w:ilvl w:val="0"/>
          <w:numId w:val="14"/>
        </w:numPr>
        <w:suppressAutoHyphens w:val="true"/>
        <w:bidi w:val="0"/>
        <w:spacing w:lineRule="auto" w:line="360" w:before="0" w:after="0"/>
        <w:ind w:hanging="340" w:left="340" w:right="0"/>
        <w:jc w:val="both"/>
        <w:rPr>
          <w:rFonts w:ascii="Aptos" w:hAnsi="Aptos"/>
        </w:rPr>
      </w:pPr>
      <w:r>
        <w:rPr>
          <w:rFonts w:ascii="Aptos" w:hAnsi="Aptos"/>
          <w:shd w:fill="auto" w:val="clear"/>
        </w:rPr>
        <w:t>Wykluczenie wykonawcy następuje:</w:t>
      </w:r>
    </w:p>
    <w:p>
      <w:pPr>
        <w:pStyle w:val="Normal"/>
        <w:widowControl/>
        <w:numPr>
          <w:ilvl w:val="2"/>
          <w:numId w:val="52"/>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w przypadkach, o których mowa w ust. 1 pkt 1 lit. a-g i pkt 2, na okres 5 lat od dnia uprawomocnienia się wyroku potwierdzającego zaistnienie jednej z podstaw wykluczenia, chyba że w tym wyroku został określony inny okres wykluczenia;</w:t>
      </w:r>
    </w:p>
    <w:p>
      <w:pPr>
        <w:pStyle w:val="Normal"/>
        <w:widowControl/>
        <w:numPr>
          <w:ilvl w:val="2"/>
          <w:numId w:val="3"/>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 xml:space="preserve"> </w:t>
      </w:r>
      <w:r>
        <w:rPr>
          <w:rFonts w:ascii="Aptos" w:hAnsi="Aptos"/>
          <w:b w:val="false"/>
          <w:bCs w:val="false"/>
          <w:sz w:val="24"/>
          <w:szCs w:val="24"/>
          <w:shd w:fill="auto" w:val="clear"/>
        </w:rPr>
        <w:t>w przypadkach, o których mowa w:</w:t>
      </w:r>
    </w:p>
    <w:p>
      <w:pPr>
        <w:pStyle w:val="Normal"/>
        <w:widowControl/>
        <w:numPr>
          <w:ilvl w:val="3"/>
          <w:numId w:val="3"/>
        </w:numPr>
        <w:suppressAutoHyphens w:val="true"/>
        <w:bidi w:val="0"/>
        <w:spacing w:lineRule="auto" w:line="360" w:before="0" w:after="0"/>
        <w:ind w:hanging="340" w:left="1077" w:right="0"/>
        <w:jc w:val="both"/>
        <w:rPr>
          <w:rFonts w:ascii="Aptos" w:hAnsi="Aptos"/>
        </w:rPr>
      </w:pPr>
      <w:r>
        <w:rPr>
          <w:rFonts w:ascii="Aptos" w:hAnsi="Aptos"/>
          <w:b w:val="false"/>
          <w:bCs w:val="false"/>
          <w:sz w:val="24"/>
          <w:szCs w:val="24"/>
          <w:shd w:fill="auto" w:val="clear"/>
        </w:rPr>
        <w:t>ust. 1 pkt 1 lit. h i pkt 2, gdy osoba, o której mowa w tych przepisach, została skazana za przestępstwo wymienione w ust. 1 pkt 1 lit. h,</w:t>
      </w:r>
    </w:p>
    <w:p>
      <w:pPr>
        <w:pStyle w:val="Normal"/>
        <w:widowControl/>
        <w:suppressAutoHyphens w:val="true"/>
        <w:bidi w:val="0"/>
        <w:spacing w:lineRule="auto" w:line="360" w:before="0" w:after="0"/>
        <w:ind w:hanging="0" w:left="737" w:right="0"/>
        <w:jc w:val="both"/>
        <w:rPr>
          <w:rFonts w:ascii="Aptos" w:hAnsi="Aptos"/>
        </w:rPr>
      </w:pPr>
      <w:r>
        <w:rPr>
          <w:rFonts w:ascii="Aptos" w:hAnsi="Aptos"/>
          <w:b w:val="false"/>
          <w:bCs w:val="false"/>
          <w:sz w:val="24"/>
          <w:szCs w:val="24"/>
          <w:shd w:fill="auto" w:val="clear"/>
        </w:rPr>
        <w:t>- na okres 3 lat od dnia uprawomocnienia się odpowiednio wyroku potwierdzającego zaistnienie jednej z podstaw wykluczenia, wydania ostatecznej decyzji lub zaistnienia zdarzenia będącego podstawą wykluczenia, chyba że w wyroku lub decyzji został określony inny okres wykluczenia;</w:t>
      </w:r>
    </w:p>
    <w:p>
      <w:pPr>
        <w:pStyle w:val="Normal"/>
        <w:widowControl/>
        <w:numPr>
          <w:ilvl w:val="2"/>
          <w:numId w:val="3"/>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w przypadku, o którym mowa w ust. 1 pkt 4, na okres, na jaki został prawomocnie orzeczony zakaz ubiegania się o zamówienia publiczne;</w:t>
      </w:r>
    </w:p>
    <w:p>
      <w:pPr>
        <w:pStyle w:val="Normal"/>
        <w:widowControl/>
        <w:numPr>
          <w:ilvl w:val="2"/>
          <w:numId w:val="3"/>
        </w:numPr>
        <w:suppressAutoHyphens w:val="true"/>
        <w:bidi w:val="0"/>
        <w:spacing w:lineRule="auto" w:line="360" w:before="0" w:after="0"/>
        <w:ind w:hanging="340" w:left="680" w:right="0"/>
        <w:jc w:val="both"/>
        <w:rPr>
          <w:rFonts w:ascii="Aptos" w:hAnsi="Aptos"/>
        </w:rPr>
      </w:pPr>
      <w:r>
        <w:rPr>
          <w:rFonts w:ascii="Aptos" w:hAnsi="Aptos"/>
        </w:rPr>
        <w:t xml:space="preserve">w przypadkach, o których mowa w ust. 1 pkt 5, </w:t>
      </w:r>
      <w:r>
        <w:rPr>
          <w:rFonts w:ascii="Aptos" w:hAnsi="Aptos"/>
          <w:shd w:fill="auto" w:val="clear"/>
        </w:rPr>
        <w:t>dział XXII</w:t>
      </w:r>
      <w:r>
        <w:rPr>
          <w:rFonts w:ascii="Aptos" w:hAnsi="Aptos"/>
        </w:rPr>
        <w:t xml:space="preserve"> ust. 1 pkt 1, 2, 3 niniejszej SWZ, na okres 3 lat od zaistnienia zdarzenia będącego podstawą wykluczenia. </w:t>
      </w:r>
    </w:p>
    <w:p>
      <w:pPr>
        <w:pStyle w:val="Normal"/>
        <w:widowControl/>
        <w:suppressAutoHyphens w:val="true"/>
        <w:bidi w:val="0"/>
        <w:spacing w:lineRule="auto" w:line="360" w:before="0" w:after="0"/>
        <w:ind w:hanging="340" w:left="680" w:right="0"/>
        <w:jc w:val="both"/>
        <w:rPr>
          <w:rFonts w:ascii="Aptos" w:hAnsi="Aptos"/>
        </w:rPr>
      </w:pPr>
      <w:r>
        <w:rPr>
          <w:rFonts w:ascii="Aptos" w:hAnsi="Aptos"/>
        </w:rPr>
      </w:r>
    </w:p>
    <w:p>
      <w:pPr>
        <w:pStyle w:val="Normal"/>
        <w:numPr>
          <w:ilvl w:val="0"/>
          <w:numId w:val="3"/>
        </w:numPr>
        <w:spacing w:lineRule="auto" w:line="360"/>
        <w:jc w:val="both"/>
        <w:rPr>
          <w:rFonts w:ascii="Aptos" w:hAnsi="Aptos"/>
        </w:rPr>
      </w:pPr>
      <w:r>
        <w:rPr>
          <w:rFonts w:ascii="Aptos" w:hAnsi="Aptos"/>
          <w:b/>
          <w:bCs/>
          <w:sz w:val="24"/>
          <w:szCs w:val="24"/>
          <w:shd w:fill="auto" w:val="clear"/>
        </w:rPr>
        <w:t>Informacja o warunkach udziału w postępowaniu.</w:t>
      </w:r>
    </w:p>
    <w:p>
      <w:pPr>
        <w:pStyle w:val="Normal"/>
        <w:spacing w:lineRule="auto" w:line="360"/>
        <w:jc w:val="both"/>
        <w:rPr>
          <w:rFonts w:ascii="Aptos" w:hAnsi="Aptos"/>
          <w:b w:val="false"/>
          <w:bCs w:val="false"/>
          <w:sz w:val="24"/>
          <w:szCs w:val="24"/>
          <w:highlight w:val="none"/>
          <w:shd w:fill="FFFF00" w:val="clear"/>
        </w:rPr>
      </w:pPr>
      <w:r>
        <w:rPr>
          <w:rFonts w:ascii="Aptos" w:hAnsi="Aptos"/>
          <w:b w:val="false"/>
          <w:bCs w:val="false"/>
          <w:sz w:val="24"/>
          <w:szCs w:val="24"/>
          <w:shd w:fill="FFFF00" w:val="clear"/>
        </w:rPr>
      </w:r>
    </w:p>
    <w:p>
      <w:pPr>
        <w:pStyle w:val="Normal"/>
        <w:widowControl/>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W postępowaniu mogą wziąć udział Wykonawcy, którzy:</w:t>
      </w:r>
    </w:p>
    <w:p>
      <w:pPr>
        <w:pStyle w:val="Normal"/>
        <w:widowControl/>
        <w:numPr>
          <w:ilvl w:val="0"/>
          <w:numId w:val="28"/>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nie podlegają wykluczeniu,</w:t>
      </w:r>
    </w:p>
    <w:p>
      <w:pPr>
        <w:pStyle w:val="Normal"/>
        <w:widowControl/>
        <w:numPr>
          <w:ilvl w:val="0"/>
          <w:numId w:val="28"/>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spełniają następujące warunki udziału w postępowaniu:</w:t>
      </w:r>
    </w:p>
    <w:p>
      <w:pPr>
        <w:pStyle w:val="Normal"/>
        <w:widowControl/>
        <w:numPr>
          <w:ilvl w:val="2"/>
          <w:numId w:val="28"/>
        </w:numPr>
        <w:suppressAutoHyphens w:val="true"/>
        <w:bidi w:val="0"/>
        <w:spacing w:lineRule="auto" w:line="360" w:before="0" w:after="0"/>
        <w:ind w:hanging="340" w:left="1020" w:right="0"/>
        <w:jc w:val="both"/>
        <w:rPr>
          <w:rFonts w:ascii="Aptos" w:hAnsi="Aptos"/>
        </w:rPr>
      </w:pPr>
      <w:r>
        <w:rPr>
          <w:rFonts w:ascii="Aptos" w:hAnsi="Aptos"/>
          <w:b w:val="false"/>
          <w:bCs w:val="false"/>
          <w:sz w:val="24"/>
          <w:szCs w:val="24"/>
          <w:shd w:fill="auto" w:val="clear"/>
        </w:rPr>
        <w:t>posiadają wiedzę i doświadczenie wyrażające się wykonaniem w okresie ostatnich 5 lat przed upływem terminu składania ofert roboty budowlanej lub robót budowlanych polegających na budowie lub rozbudowie lub przebudowie lub remoncie drogi wykończonych nawierzchnią bitumiczną wraz z odwodnieniem w postaci kanalizacji deszczowej:</w:t>
      </w:r>
    </w:p>
    <w:p>
      <w:pPr>
        <w:pStyle w:val="Normal"/>
        <w:widowControl/>
        <w:numPr>
          <w:ilvl w:val="3"/>
          <w:numId w:val="28"/>
        </w:numPr>
        <w:suppressAutoHyphens w:val="true"/>
        <w:bidi w:val="0"/>
        <w:spacing w:lineRule="auto" w:line="360" w:before="0" w:after="0"/>
        <w:ind w:hanging="340" w:left="1361" w:right="0"/>
        <w:jc w:val="both"/>
        <w:rPr>
          <w:rFonts w:ascii="Aptos" w:hAnsi="Aptos"/>
        </w:rPr>
      </w:pPr>
      <w:r>
        <w:rPr>
          <w:rFonts w:ascii="Aptos" w:hAnsi="Aptos"/>
          <w:b w:val="false"/>
          <w:bCs w:val="false"/>
          <w:sz w:val="24"/>
          <w:szCs w:val="24"/>
          <w:shd w:fill="auto" w:val="clear"/>
        </w:rPr>
        <w:t>których łączna wartość robót wyniosła minimum 200 000,00 zł brutto, z zastrzeżeniem, że:</w:t>
      </w:r>
    </w:p>
    <w:p>
      <w:pPr>
        <w:pStyle w:val="Normal"/>
        <w:widowControl/>
        <w:numPr>
          <w:ilvl w:val="3"/>
          <w:numId w:val="28"/>
        </w:numPr>
        <w:suppressAutoHyphens w:val="true"/>
        <w:bidi w:val="0"/>
        <w:spacing w:lineRule="auto" w:line="360" w:before="0" w:after="0"/>
        <w:ind w:hanging="340" w:left="1361" w:right="0"/>
        <w:jc w:val="both"/>
        <w:rPr>
          <w:rFonts w:ascii="Aptos" w:hAnsi="Aptos"/>
        </w:rPr>
      </w:pPr>
      <w:r>
        <w:rPr>
          <w:rFonts w:ascii="Aptos" w:hAnsi="Aptos"/>
          <w:b w:val="false"/>
          <w:bCs w:val="false"/>
          <w:sz w:val="24"/>
          <w:szCs w:val="24"/>
          <w:shd w:fill="auto" w:val="clear"/>
        </w:rPr>
        <w:t>przynajmniej jedna robota budowlana o wartości minimum 100 000,00 zł brutto.</w:t>
      </w:r>
    </w:p>
    <w:p>
      <w:pPr>
        <w:pStyle w:val="Normal"/>
        <w:widowControl/>
        <w:numPr>
          <w:ilvl w:val="2"/>
          <w:numId w:val="28"/>
        </w:numPr>
        <w:suppressAutoHyphens w:val="true"/>
        <w:bidi w:val="0"/>
        <w:spacing w:lineRule="auto" w:line="360" w:before="0" w:after="0"/>
        <w:ind w:hanging="340" w:left="1020" w:right="0"/>
        <w:jc w:val="both"/>
        <w:rPr>
          <w:rFonts w:ascii="Aptos" w:hAnsi="Aptos"/>
        </w:rPr>
      </w:pPr>
      <w:r>
        <w:rPr>
          <w:rFonts w:ascii="Aptos" w:hAnsi="Aptos"/>
          <w:b w:val="false"/>
          <w:bCs w:val="false"/>
          <w:sz w:val="24"/>
          <w:szCs w:val="24"/>
          <w:shd w:fill="auto" w:val="clear"/>
        </w:rPr>
        <w:t>dysponuje następującymi osobami przeznaczonymi do realizacji zamówienia:</w:t>
      </w:r>
    </w:p>
    <w:p>
      <w:pPr>
        <w:pStyle w:val="Normal"/>
        <w:widowControl/>
        <w:numPr>
          <w:ilvl w:val="3"/>
          <w:numId w:val="28"/>
        </w:numPr>
        <w:suppressAutoHyphens w:val="true"/>
        <w:bidi w:val="0"/>
        <w:spacing w:lineRule="auto" w:line="360" w:before="0" w:after="0"/>
        <w:ind w:hanging="340" w:left="1361" w:right="0"/>
        <w:jc w:val="both"/>
        <w:rPr>
          <w:rFonts w:ascii="Aptos" w:hAnsi="Aptos"/>
        </w:rPr>
      </w:pPr>
      <w:r>
        <w:rPr>
          <w:rFonts w:ascii="Aptos" w:hAnsi="Aptos"/>
          <w:b w:val="false"/>
          <w:bCs w:val="false"/>
          <w:sz w:val="24"/>
          <w:szCs w:val="24"/>
          <w:shd w:fill="auto" w:val="clear"/>
        </w:rPr>
        <w:t>kierownikiem budowy posiadającym:</w:t>
      </w:r>
    </w:p>
    <w:p>
      <w:pPr>
        <w:pStyle w:val="Normal"/>
        <w:widowControl/>
        <w:numPr>
          <w:ilvl w:val="4"/>
          <w:numId w:val="28"/>
        </w:numPr>
        <w:suppressAutoHyphens w:val="true"/>
        <w:bidi w:val="0"/>
        <w:spacing w:lineRule="auto" w:line="360" w:before="0" w:after="0"/>
        <w:ind w:hanging="340" w:left="1701" w:right="0"/>
        <w:jc w:val="both"/>
        <w:rPr>
          <w:rFonts w:ascii="Aptos" w:hAnsi="Aptos"/>
        </w:rPr>
      </w:pPr>
      <w:r>
        <w:rPr>
          <w:rFonts w:ascii="Aptos" w:hAnsi="Aptos"/>
          <w:b w:val="false"/>
          <w:bCs w:val="false"/>
          <w:sz w:val="24"/>
          <w:szCs w:val="24"/>
          <w:shd w:fill="auto" w:val="clear"/>
        </w:rPr>
        <w:t>uprawnienia zawodowe do kierowania robotami budowlanymi bez ograniczeń w specjalności drogowej;</w:t>
      </w:r>
    </w:p>
    <w:p>
      <w:pPr>
        <w:pStyle w:val="Normal"/>
        <w:widowControl/>
        <w:numPr>
          <w:ilvl w:val="4"/>
          <w:numId w:val="28"/>
        </w:numPr>
        <w:suppressAutoHyphens w:val="true"/>
        <w:bidi w:val="0"/>
        <w:spacing w:lineRule="auto" w:line="360" w:before="0" w:after="0"/>
        <w:ind w:hanging="340" w:left="1701" w:right="0"/>
        <w:jc w:val="both"/>
        <w:rPr>
          <w:rFonts w:ascii="Aptos" w:hAnsi="Aptos"/>
        </w:rPr>
      </w:pPr>
      <w:r>
        <w:rPr>
          <w:rFonts w:ascii="Aptos" w:hAnsi="Aptos"/>
          <w:b w:val="false"/>
          <w:bCs w:val="false"/>
          <w:sz w:val="24"/>
          <w:szCs w:val="24"/>
          <w:shd w:fill="auto" w:val="clear"/>
        </w:rPr>
        <w:t>doświadczenie zawodowe wyrażające się wykonywaniem funkcji kierownika budowy dla minimum 2 (dwóch) robót budowlanych gdzie wartość wykonanych robót budowlanych (w całości dla wszystkich branż) wyniosła nie mniej niż 100 000,00 złotych brutto każda;</w:t>
      </w:r>
    </w:p>
    <w:p>
      <w:pPr>
        <w:pStyle w:val="Normal"/>
        <w:widowControl/>
        <w:numPr>
          <w:ilvl w:val="3"/>
          <w:numId w:val="28"/>
        </w:numPr>
        <w:suppressAutoHyphens w:val="true"/>
        <w:bidi w:val="0"/>
        <w:spacing w:lineRule="auto" w:line="360" w:before="0" w:after="0"/>
        <w:ind w:hanging="340" w:left="1361" w:right="0"/>
        <w:jc w:val="both"/>
        <w:rPr>
          <w:rFonts w:ascii="Aptos" w:hAnsi="Aptos"/>
        </w:rPr>
      </w:pPr>
      <w:r>
        <w:rPr>
          <w:rFonts w:ascii="Aptos" w:hAnsi="Aptos"/>
          <w:b w:val="false"/>
          <w:bCs w:val="false"/>
          <w:sz w:val="24"/>
          <w:szCs w:val="24"/>
          <w:shd w:fill="auto" w:val="clear"/>
        </w:rPr>
        <w:t>minimum 6 osobami przeznaczonymi do wykonywania robót budowlanych w zakresie prac ziemnych, brukarskich, drogowych, instalacyjnych sanitarnych oraz montażowych, a także obsługujące maszyny budowlane;</w:t>
      </w:r>
    </w:p>
    <w:p>
      <w:pPr>
        <w:pStyle w:val="Normal"/>
        <w:widowControl/>
        <w:numPr>
          <w:ilvl w:val="2"/>
          <w:numId w:val="28"/>
        </w:numPr>
        <w:suppressAutoHyphens w:val="true"/>
        <w:bidi w:val="0"/>
        <w:spacing w:lineRule="auto" w:line="360" w:before="0" w:after="0"/>
        <w:ind w:hanging="340" w:left="1020" w:right="0"/>
        <w:jc w:val="both"/>
        <w:rPr>
          <w:rFonts w:ascii="Aptos" w:hAnsi="Aptos"/>
        </w:rPr>
      </w:pPr>
      <w:r>
        <w:rPr>
          <w:rFonts w:ascii="Aptos" w:hAnsi="Aptos"/>
          <w:b w:val="false"/>
          <w:bCs w:val="false"/>
          <w:sz w:val="24"/>
          <w:szCs w:val="24"/>
          <w:shd w:fill="auto" w:val="clear"/>
        </w:rPr>
        <w:t>dysponują następującymi jednostkami sprzętowymi przeznaczonymi do realizacji zamówienia:</w:t>
      </w:r>
    </w:p>
    <w:p>
      <w:pPr>
        <w:pStyle w:val="Normal"/>
        <w:widowControl/>
        <w:numPr>
          <w:ilvl w:val="3"/>
          <w:numId w:val="28"/>
        </w:numPr>
        <w:suppressAutoHyphens w:val="true"/>
        <w:bidi w:val="0"/>
        <w:spacing w:lineRule="auto" w:line="360" w:before="0" w:after="0"/>
        <w:ind w:hanging="340" w:left="1361" w:right="0"/>
        <w:jc w:val="both"/>
        <w:rPr>
          <w:rFonts w:ascii="Aptos" w:hAnsi="Aptos"/>
        </w:rPr>
      </w:pPr>
      <w:r>
        <w:rPr>
          <w:rFonts w:ascii="Aptos" w:hAnsi="Aptos"/>
          <w:b w:val="false"/>
          <w:bCs w:val="false"/>
          <w:sz w:val="24"/>
          <w:szCs w:val="24"/>
          <w:shd w:fill="auto" w:val="clear"/>
        </w:rPr>
        <w:t>minimum jedną koparką;</w:t>
      </w:r>
    </w:p>
    <w:p>
      <w:pPr>
        <w:pStyle w:val="Normal"/>
        <w:widowControl/>
        <w:numPr>
          <w:ilvl w:val="3"/>
          <w:numId w:val="28"/>
        </w:numPr>
        <w:suppressAutoHyphens w:val="true"/>
        <w:bidi w:val="0"/>
        <w:spacing w:lineRule="auto" w:line="360" w:before="0" w:after="0"/>
        <w:ind w:hanging="340" w:left="1361" w:right="0"/>
        <w:jc w:val="both"/>
        <w:rPr>
          <w:rFonts w:ascii="Aptos" w:hAnsi="Aptos"/>
        </w:rPr>
      </w:pPr>
      <w:r>
        <w:rPr>
          <w:rFonts w:ascii="Aptos" w:hAnsi="Aptos"/>
          <w:b w:val="false"/>
          <w:bCs w:val="false"/>
          <w:sz w:val="24"/>
          <w:szCs w:val="24"/>
          <w:shd w:fill="auto" w:val="clear"/>
        </w:rPr>
        <w:t>minimum jednym walcem z kołami stalowymi;</w:t>
      </w:r>
    </w:p>
    <w:p>
      <w:pPr>
        <w:pStyle w:val="Normal"/>
        <w:widowControl/>
        <w:numPr>
          <w:ilvl w:val="3"/>
          <w:numId w:val="28"/>
        </w:numPr>
        <w:suppressAutoHyphens w:val="true"/>
        <w:bidi w:val="0"/>
        <w:spacing w:lineRule="auto" w:line="360" w:before="0" w:after="0"/>
        <w:ind w:hanging="340" w:left="1361" w:right="0"/>
        <w:jc w:val="both"/>
        <w:rPr>
          <w:rFonts w:ascii="Aptos" w:hAnsi="Aptos"/>
        </w:rPr>
      </w:pPr>
      <w:r>
        <w:rPr>
          <w:rFonts w:ascii="Aptos" w:hAnsi="Aptos"/>
          <w:b w:val="false"/>
          <w:bCs w:val="false"/>
          <w:sz w:val="24"/>
          <w:szCs w:val="24"/>
          <w:shd w:fill="auto" w:val="clear"/>
        </w:rPr>
        <w:t>minimum dwoma pojazdami ciężarowymi samowyładowczymi, w tym jednym przystosowanym do przewozu masy bitumicznej;</w:t>
      </w:r>
    </w:p>
    <w:p>
      <w:pPr>
        <w:pStyle w:val="Normal"/>
        <w:widowControl/>
        <w:numPr>
          <w:ilvl w:val="3"/>
          <w:numId w:val="28"/>
        </w:numPr>
        <w:suppressAutoHyphens w:val="true"/>
        <w:bidi w:val="0"/>
        <w:spacing w:lineRule="auto" w:line="360" w:before="0" w:after="0"/>
        <w:ind w:hanging="340" w:left="1361" w:right="0"/>
        <w:jc w:val="both"/>
        <w:rPr>
          <w:rFonts w:ascii="Aptos" w:hAnsi="Aptos"/>
        </w:rPr>
      </w:pPr>
      <w:r>
        <w:rPr>
          <w:rFonts w:ascii="Aptos" w:hAnsi="Aptos"/>
          <w:b w:val="false"/>
          <w:bCs w:val="false"/>
          <w:sz w:val="24"/>
          <w:szCs w:val="24"/>
          <w:shd w:fill="auto" w:val="clear"/>
        </w:rPr>
        <w:t>minimum jednym rozściełaczem masy bitumicznej.</w:t>
      </w:r>
    </w:p>
    <w:p>
      <w:pPr>
        <w:pStyle w:val="Normal"/>
        <w:widowControl/>
        <w:numPr>
          <w:ilvl w:val="0"/>
          <w:numId w:val="28"/>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W odniesieniu do opisanych powyżej wymagań stawianych kierownikowi budowy oraz kierownikom robót branżowych właściwe są uprawnienia budowlane wydawane po 1994 roku (tj. zgodne z wymogami ustawy Prawo budowlane (tekst pierwotny: Dz.U. 1994 r. Nr 89 poz. 414). Funkcje kierownika budowy oraz kierowników robót branżowych mogą również wykonywać osoby posiadające ważne uprawnienia budowlane wydane na podstawie obowiązujących przed 01.01.1995 r. właściwych przepisów jeżeli uprawnienia te, pozwalają na wykonywanie przy realizacji przedmiotu zamówienia funkcji o wymienionych powyżej. Funkcje kierownika budowy oraz kierownika robót branżowych mogą również wykonywać osoby, których odpowiednie kwalifikacje zawodowe zostały uznane na zasadach określonych ustawą z dnia 22 grudnia 2015 r. o zasadach uznawania kwalifikacji zawodowych nabytych w państwach członkowskich Unii Europejskiej. Kierownik budowy oraz kierownicy robót branżowych winni posiadać biegłą znajomość języka polskiego. Zamawiający dopuszcza zmianę tego wymogu wyłącznie w przypadku, gdy Wykonawca na własny koszt zapewni tłumacza języka polskiego, który zapewni stałe i biegłe tłumaczenie w kontaktach pomiędzy Zamawiającym, a personelem Wykonawcy, a także zapewni tłumaczenie na bieżąco wszystkich dokumentów związanych z realizacją przedmiotowego zamówienia, stworzonych zarówno przez Wykonawcę, jak i dostarczonych przez Zamawiającego. Wykonawca zatrudniając tłumacza winien wziąć pod uwagę, iż z uwagi na złożony zakres przedmiotu zamówienia, tłumacz ten winien być biegły w bezbłędnym i jednoznacznym tłumaczeniu zagadnień technicznych oraz zagadnień ekonomicznych i prawnych w zakresie niezbędnym do prawidłowej realizacji przedmiotu zamówienia.</w:t>
      </w:r>
    </w:p>
    <w:p>
      <w:pPr>
        <w:pStyle w:val="Normal"/>
        <w:widowControl/>
        <w:numPr>
          <w:ilvl w:val="0"/>
          <w:numId w:val="28"/>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W przypadku kwot w walutach obcych dla potwierdzenia spełnienia, któregokolwiek z warunków kwotowych opisanych powyżej, Zamawiający dokona przeliczenia tej waluty na PLN wg średniego bieżącego kursu wyliczonego i ogłoszonego przez Narodowy Bank Polski z dnia zakończenia świadczenia tych robót budowlanych. Kursy walut dostępne są pod następującym adresem internetowym: http://www.nbp.pl/. Jeżeli dla potrzeby oceny spełniania warunków udziału w postępowaniu, Zamawiający będzie dokonywał przeliczenia na PLN kwot w walutach obcych wg średniego bieżącego kursu wyliczonego i ogłoszonego przez Narodowy Bank Polski, jeżeli na dzień wskazany wyżej jako moment dokonania przeliczenia, kurs stanowiący podstawę przeliczenia nie zostanie przez NBP opublikowany, podstawą przeliczenia będzie kurs NPB opublikowany w dniu najbliższej publikacji mającej miejsce po dniu o którym mowa wyżej.</w:t>
      </w:r>
    </w:p>
    <w:p>
      <w:pPr>
        <w:pStyle w:val="Normal"/>
        <w:spacing w:lineRule="auto" w:line="360"/>
        <w:jc w:val="both"/>
        <w:rPr>
          <w:rFonts w:ascii="Aptos" w:hAnsi="Aptos"/>
          <w:b w:val="false"/>
          <w:bCs w:val="false"/>
          <w:sz w:val="24"/>
          <w:szCs w:val="24"/>
          <w:highlight w:val="none"/>
          <w:shd w:fill="FFFF00" w:val="clear"/>
        </w:rPr>
      </w:pPr>
      <w:r>
        <w:rPr>
          <w:rFonts w:ascii="Aptos" w:hAnsi="Aptos"/>
          <w:b w:val="false"/>
          <w:bCs w:val="false"/>
          <w:sz w:val="24"/>
          <w:szCs w:val="24"/>
          <w:shd w:fill="FFFF00" w:val="clear"/>
        </w:rPr>
      </w:r>
    </w:p>
    <w:p>
      <w:pPr>
        <w:pStyle w:val="Normal"/>
        <w:numPr>
          <w:ilvl w:val="0"/>
          <w:numId w:val="3"/>
        </w:numPr>
        <w:bidi w:val="0"/>
        <w:spacing w:lineRule="auto" w:line="360"/>
        <w:jc w:val="both"/>
        <w:rPr>
          <w:rFonts w:ascii="Aptos" w:hAnsi="Aptos"/>
        </w:rPr>
      </w:pPr>
      <w:r>
        <w:rPr>
          <w:rFonts w:ascii="Aptos" w:hAnsi="Aptos"/>
          <w:b/>
          <w:bCs/>
          <w:sz w:val="24"/>
          <w:szCs w:val="24"/>
          <w:shd w:fill="auto" w:val="clear"/>
        </w:rPr>
        <w:t>Wykaz podmiotowych środków dowodowych</w:t>
      </w:r>
    </w:p>
    <w:p>
      <w:pPr>
        <w:pStyle w:val="Normal"/>
        <w:bidi w:val="0"/>
        <w:spacing w:lineRule="auto" w:line="360"/>
        <w:jc w:val="both"/>
        <w:rPr>
          <w:rFonts w:ascii="Aptos" w:hAnsi="Aptos"/>
          <w:b/>
          <w:bCs/>
          <w:sz w:val="24"/>
          <w:szCs w:val="24"/>
          <w:shd w:fill="auto" w:val="clear"/>
        </w:rPr>
      </w:pPr>
      <w:r>
        <w:rPr>
          <w:rFonts w:ascii="Aptos" w:hAnsi="Aptos"/>
          <w:b/>
          <w:bCs/>
          <w:sz w:val="24"/>
          <w:szCs w:val="24"/>
          <w:shd w:fill="auto" w:val="clear"/>
        </w:rPr>
      </w:r>
    </w:p>
    <w:p>
      <w:pPr>
        <w:pStyle w:val="Normal"/>
        <w:widowControl/>
        <w:numPr>
          <w:ilvl w:val="0"/>
          <w:numId w:val="29"/>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Zamawiający najpierw dokona badania i oceny ofert, a następnie dokonać kwalifikacji podmiotowej wykonawcy, którego oferta została najwyżej oceniona, w zakresie braku podstaw wykluczenia oraz spełniania warunków udziału w postępowaniu.</w:t>
      </w:r>
    </w:p>
    <w:p>
      <w:pPr>
        <w:pStyle w:val="Normal"/>
        <w:widowControl/>
        <w:numPr>
          <w:ilvl w:val="0"/>
          <w:numId w:val="29"/>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Ocena spełniania przez Wykonawcę warunków udziału w postępowaniu nastąpi w oparciu o złożone wraz z ofertą dokumenty, o których mowa w dziale XIV ust. 7 niniejszej SWZ wg. formuły spełnia bądź nie spełnia.</w:t>
      </w:r>
    </w:p>
    <w:p>
      <w:pPr>
        <w:pStyle w:val="Normal"/>
        <w:widowControl/>
        <w:numPr>
          <w:ilvl w:val="0"/>
          <w:numId w:val="29"/>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Zamawiający wezwie wykonawcę, którego oferta została najwyżej oceniona, do złożenia w wyznaczonym, nie krótszym niż 5 dni, terminie, aktualnych na dzień złożenia:</w:t>
      </w:r>
    </w:p>
    <w:p>
      <w:pPr>
        <w:pStyle w:val="Normal"/>
        <w:widowControl/>
        <w:numPr>
          <w:ilvl w:val="1"/>
          <w:numId w:val="29"/>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 xml:space="preserve">oświadczenia wykonawcy o aktualności informacji zawartych w oświadczeniu, o którym mowa w dziale XIV ust. 7 niniejszej SWZ, w zakresie podstaw wykluczenia z postępowania wskazanych przez zamawiającego (w zakresie i zgodnie z wzorem określonym </w:t>
      </w:r>
      <w:r>
        <w:rPr>
          <w:rFonts w:ascii="Aptos" w:hAnsi="Aptos"/>
          <w:b/>
          <w:bCs/>
          <w:sz w:val="24"/>
          <w:szCs w:val="24"/>
          <w:shd w:fill="auto" w:val="clear"/>
        </w:rPr>
        <w:t>w załączniku nr 6</w:t>
      </w:r>
      <w:r>
        <w:rPr>
          <w:rFonts w:ascii="Aptos" w:hAnsi="Aptos"/>
          <w:b w:val="false"/>
          <w:bCs w:val="false"/>
          <w:sz w:val="24"/>
          <w:szCs w:val="24"/>
          <w:shd w:fill="auto" w:val="clear"/>
        </w:rPr>
        <w:t xml:space="preserve"> do niniejszej SWZ);</w:t>
      </w:r>
    </w:p>
    <w:p>
      <w:pPr>
        <w:pStyle w:val="Normal"/>
        <w:widowControl/>
        <w:numPr>
          <w:ilvl w:val="1"/>
          <w:numId w:val="29"/>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 xml:space="preserve">oświadczenia wykonawcy w zakresie art. 108 ust. 1 pkt 5 ustawy Pzp o braku przynależności do tej samej grupy kapitałowej w rozumieniu ustawy z dnia 16 lutego 2007 r. o ochronie konkurencji i konsumentów, z innym wykonawcą, który złożył odrębną ofertę, albo oświadczenie o przynależności do tej samej grupy kapitałowej wraz z dokumentami lub informacjami potwierdzającymi przygotowanie oferty niezależnie od innego wykonawcy należącego do tej samej grupy kapitałowej (w zakresie i zgodnie z wzorem określonym w </w:t>
      </w:r>
      <w:r>
        <w:rPr>
          <w:rFonts w:ascii="Aptos" w:hAnsi="Aptos"/>
          <w:b/>
          <w:bCs/>
          <w:sz w:val="24"/>
          <w:szCs w:val="24"/>
          <w:shd w:fill="auto" w:val="clear"/>
        </w:rPr>
        <w:t>załączniku nr 7</w:t>
      </w:r>
      <w:r>
        <w:rPr>
          <w:rFonts w:ascii="Aptos" w:hAnsi="Aptos"/>
          <w:b w:val="false"/>
          <w:bCs w:val="false"/>
          <w:sz w:val="24"/>
          <w:szCs w:val="24"/>
          <w:shd w:fill="auto" w:val="clear"/>
        </w:rPr>
        <w:t xml:space="preserve"> do niniejszej SWZ);</w:t>
      </w:r>
    </w:p>
    <w:p>
      <w:pPr>
        <w:pStyle w:val="Normal"/>
        <w:widowControl/>
        <w:numPr>
          <w:ilvl w:val="1"/>
          <w:numId w:val="29"/>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 xml:space="preserve">wykazu robót budowlanych wykonanych nie wcześniej niż w okresie ostatnich 5 lat, a jeżeli okres prowadzenia działalności jest krótszy - w tym okresie, wraz z podaniem ich rodzaju, wartości, daty i miejsca wykonania oraz podmiotów, na rzecz których roboty te zostały wykonane (w zakresie i zgodnie z wzorem określonym w </w:t>
      </w:r>
      <w:r>
        <w:rPr>
          <w:rFonts w:ascii="Aptos" w:hAnsi="Aptos"/>
          <w:b/>
          <w:bCs/>
          <w:sz w:val="24"/>
          <w:szCs w:val="24"/>
          <w:shd w:fill="auto" w:val="clear"/>
        </w:rPr>
        <w:t>załączniku nr 10</w:t>
      </w:r>
      <w:r>
        <w:rPr>
          <w:rFonts w:ascii="Aptos" w:hAnsi="Aptos"/>
          <w:b w:val="false"/>
          <w:bCs w:val="false"/>
          <w:sz w:val="24"/>
          <w:szCs w:val="24"/>
          <w:shd w:fill="auto" w:val="clear"/>
        </w:rPr>
        <w:t xml:space="preserve"> do niniejszej SWZ),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pPr>
        <w:pStyle w:val="Normal"/>
        <w:widowControl/>
        <w:numPr>
          <w:ilvl w:val="1"/>
          <w:numId w:val="29"/>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 xml:space="preserve">wykazu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 zakresie i zgodnie z wzorem określonym w </w:t>
      </w:r>
      <w:r>
        <w:rPr>
          <w:rFonts w:ascii="Aptos" w:hAnsi="Aptos"/>
          <w:b/>
          <w:bCs/>
          <w:sz w:val="24"/>
          <w:szCs w:val="24"/>
          <w:shd w:fill="auto" w:val="clear"/>
        </w:rPr>
        <w:t>załączniku nr 11</w:t>
      </w:r>
      <w:r>
        <w:rPr>
          <w:rFonts w:ascii="Aptos" w:hAnsi="Aptos"/>
          <w:b w:val="false"/>
          <w:bCs w:val="false"/>
          <w:sz w:val="24"/>
          <w:szCs w:val="24"/>
          <w:shd w:fill="auto" w:val="clear"/>
        </w:rPr>
        <w:t xml:space="preserve"> do niniejszej SWZ);</w:t>
      </w:r>
    </w:p>
    <w:p>
      <w:pPr>
        <w:pStyle w:val="Normal"/>
        <w:widowControl/>
        <w:numPr>
          <w:ilvl w:val="1"/>
          <w:numId w:val="29"/>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 xml:space="preserve">wykazu narzędzi, wyposażenia zakładu lub urządzeń technicznych dostępnych wykonawcy w celu wykonania zamówienia publicznego wraz z informacją o podstawie do dysponowania tymi zasobami (w zakresie i zgodnie z wzorem określonym w </w:t>
      </w:r>
      <w:r>
        <w:rPr>
          <w:rFonts w:ascii="Aptos" w:hAnsi="Aptos"/>
          <w:b/>
          <w:bCs/>
          <w:sz w:val="24"/>
          <w:szCs w:val="24"/>
          <w:shd w:fill="auto" w:val="clear"/>
        </w:rPr>
        <w:t>załączniku nr 12</w:t>
      </w:r>
      <w:r>
        <w:rPr>
          <w:rFonts w:ascii="Aptos" w:hAnsi="Aptos"/>
          <w:b w:val="false"/>
          <w:bCs w:val="false"/>
          <w:sz w:val="24"/>
          <w:szCs w:val="24"/>
          <w:shd w:fill="auto" w:val="clear"/>
        </w:rPr>
        <w:t xml:space="preserve"> do niniejszej SWZ).</w:t>
      </w:r>
    </w:p>
    <w:p>
      <w:pPr>
        <w:pStyle w:val="Normal"/>
        <w:widowControl/>
        <w:numPr>
          <w:ilvl w:val="0"/>
          <w:numId w:val="29"/>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Podmiotowe środki dowodowe oraz inne dokumenty lub oświadczenia, o których mowa w rozporządzeniu, składa się w formie elektronicznej, w postaci elektronicznej opatrzonej podpisem zaufanym lub podpisem osobistym, w formie pisemnej lub w formie dokumentowej, w zakresie i w sposób określony w przepisach wydanych na podstawie art. 70 Pzp.</w:t>
      </w:r>
    </w:p>
    <w:p>
      <w:pPr>
        <w:pStyle w:val="Normal"/>
        <w:widowControl/>
        <w:numPr>
          <w:ilvl w:val="0"/>
          <w:numId w:val="29"/>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pPr>
        <w:pStyle w:val="Normal"/>
        <w:widowControl/>
        <w:numPr>
          <w:ilvl w:val="0"/>
          <w:numId w:val="29"/>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Pzp, dane umożliwiające dostęp do tych środków.</w:t>
      </w:r>
    </w:p>
    <w:p>
      <w:pPr>
        <w:pStyle w:val="Normal"/>
        <w:widowControl/>
        <w:numPr>
          <w:ilvl w:val="0"/>
          <w:numId w:val="29"/>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Jeżeli wobec wykonawcy, o którym mowa w ust. 1, zachodzą podstawy wykluczenia, wykonawca ten nie spełnia warunków udziału w postępowaniu, nie składa podmiotowych środków dowodowych lub oświadczenia, o którym mowa w ust. 3, potwierdzających brak podstaw wykluczenia lub spełnianie warunków udziału w postępowaniu, zamawiający dokonuje ponownego badania i oceny ofert pozostałych wykonawców, a następnie dokonuje kwalifikacji podmiotowej wykonawcy, którego oferta została najwyżej oceniona, w zakresie braku podstaw wykluczenia oraz spełniania warunków udziału w postępowaniu.</w:t>
      </w:r>
    </w:p>
    <w:p>
      <w:pPr>
        <w:pStyle w:val="Normal"/>
        <w:widowControl/>
        <w:numPr>
          <w:ilvl w:val="0"/>
          <w:numId w:val="29"/>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Zamawiający kontynuuje procedurę ponownego badania i oceny ofert, o której mowa powyżej w odniesieniu do ofert wykonawców pozostałych w postępowaniu, a następnie dokonuje kwalifikacji podmiotowej wykonawcy, którego oferta została najwyżej oceniona, w zakresie braku podstaw wykluczenia oraz spełniania warunków udziału w postępowaniu, do momentu wyboru najkorzystniejszej oferty albo unieważnienia postępowania o udzielenie zamówienia.</w:t>
      </w:r>
    </w:p>
    <w:p>
      <w:pPr>
        <w:pStyle w:val="Normal"/>
        <w:spacing w:lineRule="auto" w:line="360"/>
        <w:jc w:val="both"/>
        <w:rPr>
          <w:rFonts w:ascii="Aptos" w:hAnsi="Aptos"/>
          <w:b w:val="false"/>
          <w:bCs w:val="false"/>
          <w:sz w:val="24"/>
          <w:szCs w:val="24"/>
          <w:shd w:fill="auto" w:val="clear"/>
        </w:rPr>
      </w:pPr>
      <w:r>
        <w:rPr>
          <w:rFonts w:ascii="Aptos" w:hAnsi="Aptos"/>
          <w:b w:val="false"/>
          <w:bCs w:val="false"/>
          <w:sz w:val="24"/>
          <w:szCs w:val="24"/>
          <w:shd w:fill="auto" w:val="clear"/>
        </w:rPr>
      </w:r>
    </w:p>
    <w:p>
      <w:pPr>
        <w:pStyle w:val="Normal"/>
        <w:numPr>
          <w:ilvl w:val="0"/>
          <w:numId w:val="3"/>
        </w:numPr>
        <w:spacing w:lineRule="auto" w:line="360"/>
        <w:jc w:val="both"/>
        <w:rPr>
          <w:rFonts w:ascii="Aptos" w:hAnsi="Aptos"/>
        </w:rPr>
      </w:pPr>
      <w:r>
        <w:rPr>
          <w:rFonts w:ascii="Aptos" w:hAnsi="Aptos"/>
          <w:b/>
          <w:bCs/>
          <w:sz w:val="24"/>
          <w:szCs w:val="24"/>
          <w:shd w:fill="auto" w:val="clear"/>
        </w:rPr>
        <w:t>Informacje o środkach komunikacji elektronicznej, przy użyciu których zamawiający będzie komunikował się z wykonawcami, oraz informacje o wymaganiach technicznych i organizacyjnych sporządzania, wysyłania i odbierania korespondencji elektronicznej.</w:t>
      </w:r>
    </w:p>
    <w:p>
      <w:pPr>
        <w:pStyle w:val="Default"/>
        <w:spacing w:lineRule="auto" w:line="360" w:before="0" w:after="0"/>
        <w:ind w:hanging="426" w:left="426"/>
        <w:jc w:val="both"/>
        <w:rPr>
          <w:rFonts w:ascii="Aptos" w:hAnsi="Aptos" w:cs="Calibri"/>
          <w:color w:val="auto"/>
        </w:rPr>
      </w:pPr>
      <w:r>
        <w:rPr>
          <w:rFonts w:cs="Calibri" w:ascii="Aptos" w:hAnsi="Aptos"/>
          <w:color w:val="auto"/>
        </w:rPr>
      </w:r>
    </w:p>
    <w:p>
      <w:pPr>
        <w:pStyle w:val="Default"/>
        <w:numPr>
          <w:ilvl w:val="0"/>
          <w:numId w:val="32"/>
        </w:numPr>
        <w:spacing w:lineRule="auto" w:line="360" w:before="0" w:after="0"/>
        <w:ind w:hanging="426" w:left="426"/>
        <w:jc w:val="both"/>
        <w:rPr>
          <w:rFonts w:ascii="Aptos" w:hAnsi="Aptos"/>
        </w:rPr>
      </w:pPr>
      <w:r>
        <w:rPr>
          <w:rFonts w:cs="Calibri" w:ascii="Aptos" w:hAnsi="Aptos"/>
          <w:color w:val="auto"/>
        </w:rPr>
        <w:t>Postępowanie jest prowadzone w języku polskim.</w:t>
      </w:r>
    </w:p>
    <w:p>
      <w:pPr>
        <w:pStyle w:val="Default"/>
        <w:numPr>
          <w:ilvl w:val="0"/>
          <w:numId w:val="53"/>
        </w:numPr>
        <w:spacing w:lineRule="auto" w:line="360" w:before="0" w:after="0"/>
        <w:ind w:hanging="426" w:left="426"/>
        <w:jc w:val="both"/>
        <w:rPr>
          <w:rFonts w:ascii="Aptos" w:hAnsi="Aptos"/>
        </w:rPr>
      </w:pPr>
      <w:r>
        <w:rPr>
          <w:rFonts w:cs="Cambria" w:ascii="Aptos" w:hAnsi="Aptos"/>
        </w:rPr>
        <w:t xml:space="preserve">W postępowaniu o udzielenie zamówienia komunikacja między Zamawiającym a Wykonawcami odbywa się przy użyciu środków komunikacji elektronicznej, tj. przy użyciu Platformy e-Zamówienia, która dostępna jest pod adresem https://ezamowienia.gov.pl </w:t>
      </w:r>
    </w:p>
    <w:p>
      <w:pPr>
        <w:pStyle w:val="Default"/>
        <w:numPr>
          <w:ilvl w:val="0"/>
          <w:numId w:val="54"/>
        </w:numPr>
        <w:spacing w:lineRule="auto" w:line="360" w:before="0" w:after="0"/>
        <w:ind w:hanging="426" w:left="426"/>
        <w:jc w:val="both"/>
        <w:rPr>
          <w:rFonts w:ascii="Aptos" w:hAnsi="Aptos"/>
        </w:rPr>
      </w:pPr>
      <w:r>
        <w:rPr>
          <w:rFonts w:cs="Cambria" w:ascii="Aptos" w:hAnsi="Aptos"/>
          <w:color w:val="auto"/>
        </w:rPr>
        <w:t xml:space="preserve">Zamawiający wyznacza następujące osoby do kontaktu z Wykonawcami: </w:t>
      </w:r>
    </w:p>
    <w:p>
      <w:pPr>
        <w:pStyle w:val="Default"/>
        <w:spacing w:lineRule="auto" w:line="360" w:before="0" w:after="0"/>
        <w:ind w:hanging="0" w:left="426"/>
        <w:jc w:val="both"/>
        <w:rPr>
          <w:rFonts w:ascii="Aptos" w:hAnsi="Aptos"/>
        </w:rPr>
      </w:pPr>
      <w:r>
        <w:rPr>
          <w:rFonts w:cs="Cambria" w:ascii="Aptos" w:hAnsi="Aptos"/>
          <w:color w:val="auto"/>
        </w:rPr>
        <w:t>Zamawiający informuje, że komunikacja ustna dopuszczalna jest w odniesieniu do informacji, które nie są istotne, w szczególności nie dotyczą ogłoszenia o zamówieniu lub dokumentów zamówienia lub ofert.</w:t>
      </w:r>
    </w:p>
    <w:p>
      <w:pPr>
        <w:pStyle w:val="Normal"/>
        <w:numPr>
          <w:ilvl w:val="0"/>
          <w:numId w:val="55"/>
        </w:numPr>
        <w:spacing w:lineRule="auto" w:line="360" w:before="0" w:after="0"/>
        <w:ind w:hanging="426" w:left="426"/>
        <w:jc w:val="both"/>
        <w:rPr>
          <w:rFonts w:ascii="Aptos" w:hAnsi="Aptos"/>
        </w:rPr>
      </w:pPr>
      <w:r>
        <w:rPr>
          <w:rFonts w:ascii="Aptos" w:hAnsi="Aptos"/>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pPr>
        <w:pStyle w:val="Normal"/>
        <w:numPr>
          <w:ilvl w:val="0"/>
          <w:numId w:val="56"/>
        </w:numPr>
        <w:spacing w:lineRule="auto" w:line="360" w:before="0" w:after="0"/>
        <w:ind w:hanging="426" w:left="426"/>
        <w:jc w:val="both"/>
        <w:rPr>
          <w:rFonts w:ascii="Aptos" w:hAnsi="Aptos"/>
        </w:rPr>
      </w:pPr>
      <w:r>
        <w:rPr>
          <w:rFonts w:ascii="Aptos" w:hAnsi="Aptos"/>
        </w:rPr>
        <w:t>Przeglądanie i pobieranie publicznej treści dokumentacji postępowania nie wymaga posiadania konta na Platformie e-Zamówienia ani logowania.</w:t>
      </w:r>
    </w:p>
    <w:p>
      <w:pPr>
        <w:pStyle w:val="Normal"/>
        <w:numPr>
          <w:ilvl w:val="0"/>
          <w:numId w:val="57"/>
        </w:numPr>
        <w:spacing w:lineRule="auto" w:line="360" w:before="0" w:after="0"/>
        <w:ind w:hanging="426" w:left="426"/>
        <w:jc w:val="both"/>
        <w:rPr>
          <w:rFonts w:ascii="Aptos" w:hAnsi="Aptos"/>
        </w:rPr>
      </w:pPr>
      <w:r>
        <w:rPr>
          <w:rFonts w:ascii="Aptos" w:hAnsi="Aptos"/>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(Dz.U. z 2020 r. poz. 2452).</w:t>
      </w:r>
    </w:p>
    <w:p>
      <w:pPr>
        <w:pStyle w:val="Normal"/>
        <w:numPr>
          <w:ilvl w:val="0"/>
          <w:numId w:val="58"/>
        </w:numPr>
        <w:spacing w:lineRule="auto" w:line="360" w:before="0" w:after="0"/>
        <w:ind w:hanging="426" w:left="426"/>
        <w:jc w:val="both"/>
        <w:rPr>
          <w:rFonts w:ascii="Aptos" w:hAnsi="Aptos"/>
        </w:rPr>
      </w:pPr>
      <w:r>
        <w:rPr>
          <w:rFonts w:ascii="Aptos" w:hAnsi="Aptos"/>
        </w:rPr>
        <w:t>Dokumenty elektroniczne, o których mowa w § 2 ust. 1 rozporządzenia Prezesa Rady Ministrów w sprawie wymagań dla dokumentów elektronicznych,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(Dz.U. z 2024 r. poz. 773), z uwzględnieniem rodzaju przekazywanych danych i przekazuje się jako załączniki. W przypadku formatów, o których mowa w art. 66 ust. 1 ustawy Pzp, ww. regulacje nie będą miały bezpośredniego zastosowania.</w:t>
      </w:r>
    </w:p>
    <w:p>
      <w:pPr>
        <w:pStyle w:val="Normal"/>
        <w:numPr>
          <w:ilvl w:val="0"/>
          <w:numId w:val="59"/>
        </w:numPr>
        <w:spacing w:lineRule="auto" w:line="360" w:before="0" w:after="0"/>
        <w:ind w:hanging="426" w:left="426"/>
        <w:jc w:val="both"/>
        <w:rPr>
          <w:rFonts w:ascii="Aptos" w:hAnsi="Aptos"/>
        </w:rPr>
      </w:pPr>
      <w:r>
        <w:rPr>
          <w:rFonts w:ascii="Aptos" w:hAnsi="Aptos"/>
        </w:rPr>
        <w:t>Informacje, oświadczenia lub dokumenty, inne niż wymienione w § 2 ust. 1 rozporządzenia Prezesa Rady Ministrów w sprawie wymagań dla dokumentów elektronicznych, przekazywane w postępowaniu sporządza się w postaci elektronicznej:</w:t>
      </w:r>
    </w:p>
    <w:p>
      <w:pPr>
        <w:pStyle w:val="Normal"/>
        <w:widowControl/>
        <w:numPr>
          <w:ilvl w:val="1"/>
          <w:numId w:val="18"/>
        </w:numPr>
        <w:suppressAutoHyphens w:val="true"/>
        <w:bidi w:val="0"/>
        <w:spacing w:lineRule="auto" w:line="360" w:before="0" w:after="0"/>
        <w:ind w:hanging="397" w:left="794" w:right="0"/>
        <w:jc w:val="both"/>
        <w:rPr>
          <w:rFonts w:ascii="Aptos" w:hAnsi="Aptos"/>
        </w:rPr>
      </w:pPr>
      <w:r>
        <w:rPr>
          <w:rFonts w:ascii="Aptos" w:hAnsi="Aptos"/>
        </w:rPr>
        <w:t>w formatach danych określonych w przepisach rozporządzenia Rady Ministrów w sprawie Krajowych Ram Interoperacyjności (i przekazuje się jako załącznik), lub</w:t>
      </w:r>
    </w:p>
    <w:p>
      <w:pPr>
        <w:pStyle w:val="Normal"/>
        <w:widowControl/>
        <w:numPr>
          <w:ilvl w:val="1"/>
          <w:numId w:val="18"/>
        </w:numPr>
        <w:suppressAutoHyphens w:val="true"/>
        <w:bidi w:val="0"/>
        <w:spacing w:lineRule="auto" w:line="360" w:before="0" w:after="0"/>
        <w:ind w:hanging="397" w:left="794" w:right="0"/>
        <w:jc w:val="both"/>
        <w:rPr>
          <w:rFonts w:ascii="Aptos" w:hAnsi="Aptos"/>
        </w:rPr>
      </w:pPr>
      <w:r>
        <w:rPr>
          <w:rFonts w:ascii="Aptos" w:hAnsi="Aptos"/>
        </w:rPr>
        <w:t>jako tekst wpisany bezpośrednio do wiadomości przekazywanej przy użyciu środków komunikacji elektronicznej (np. w treści wiadomości e-mail lub w treści „Formularza do komunikacji”).</w:t>
      </w:r>
    </w:p>
    <w:p>
      <w:pPr>
        <w:pStyle w:val="Normal"/>
        <w:numPr>
          <w:ilvl w:val="0"/>
          <w:numId w:val="60"/>
        </w:numPr>
        <w:spacing w:lineRule="auto" w:line="360" w:before="0" w:after="0"/>
        <w:ind w:hanging="426" w:left="426"/>
        <w:jc w:val="both"/>
        <w:rPr>
          <w:rFonts w:ascii="Aptos" w:hAnsi="Aptos"/>
        </w:rPr>
      </w:pPr>
      <w:r>
        <w:rPr>
          <w:rFonts w:ascii="Aptos" w:hAnsi="Aptos"/>
        </w:rPr>
        <w:t>Jeżeli dokumenty elektroniczne, przekazywane przy użyciu środków komunikacji elektronicznej, zawierają informacje stanowiące tajemnicę przedsiębiorstwa w rozumieniu przepisów ustawy z dnia 16 kwietnia 1993 r. o zwalczaniu nieuczciwej konkurencji (tekst jednolity Dz.U. z 2022 r. poz. 1233 ze zmianami) wykonawca, w celu utrzymania w poufności tych informacji, przekazuje je w wydzielonym i odpowiednio oznaczonym pliku, wraz z jednoczesnym zaznaczeniem w nazwie pliku „Dokument stanowiący tajemnicę przedsiębiorstwa”.</w:t>
      </w:r>
    </w:p>
    <w:p>
      <w:pPr>
        <w:pStyle w:val="Normal"/>
        <w:numPr>
          <w:ilvl w:val="0"/>
          <w:numId w:val="61"/>
        </w:numPr>
        <w:spacing w:lineRule="auto" w:line="360" w:before="0" w:after="0"/>
        <w:ind w:hanging="426" w:left="426"/>
        <w:jc w:val="both"/>
        <w:rPr>
          <w:rFonts w:ascii="Aptos" w:hAnsi="Aptos"/>
        </w:rPr>
      </w:pPr>
      <w:r>
        <w:rPr>
          <w:rFonts w:ascii="Aptos" w:hAnsi="Aptos"/>
        </w:rPr>
        <w:t>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pPr>
        <w:pStyle w:val="Normal"/>
        <w:numPr>
          <w:ilvl w:val="0"/>
          <w:numId w:val="62"/>
        </w:numPr>
        <w:spacing w:lineRule="auto" w:line="360" w:before="0" w:after="0"/>
        <w:ind w:hanging="426" w:left="426"/>
        <w:jc w:val="both"/>
        <w:rPr>
          <w:rFonts w:ascii="Aptos" w:hAnsi="Aptos"/>
        </w:rPr>
      </w:pPr>
      <w:r>
        <w:rPr>
          <w:rFonts w:ascii="Aptos" w:hAnsi="Aptos"/>
        </w:rPr>
        <w:t>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pPr>
        <w:pStyle w:val="Normal"/>
        <w:numPr>
          <w:ilvl w:val="0"/>
          <w:numId w:val="63"/>
        </w:numPr>
        <w:bidi w:val="0"/>
        <w:spacing w:lineRule="auto" w:line="360" w:before="0" w:after="0"/>
        <w:ind w:hanging="426" w:left="426"/>
        <w:jc w:val="both"/>
        <w:rPr>
          <w:rFonts w:ascii="Aptos" w:hAnsi="Aptos"/>
        </w:rPr>
      </w:pPr>
      <w:r>
        <w:rPr>
          <w:rFonts w:ascii="Aptos" w:hAnsi="Aptos"/>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pPr>
        <w:pStyle w:val="Normal"/>
        <w:numPr>
          <w:ilvl w:val="0"/>
          <w:numId w:val="64"/>
        </w:numPr>
        <w:bidi w:val="0"/>
        <w:spacing w:lineRule="auto" w:line="360" w:before="0" w:after="0"/>
        <w:ind w:hanging="426" w:left="426"/>
        <w:jc w:val="both"/>
        <w:rPr>
          <w:rFonts w:ascii="Aptos" w:hAnsi="Aptos"/>
        </w:rPr>
      </w:pPr>
      <w:r>
        <w:rPr>
          <w:rFonts w:ascii="Aptos" w:hAnsi="Aptos"/>
        </w:rPr>
        <w:t>Wszystkie wysłane i odebrane w postępowaniu przez wykonawcę wiadomości widoczne są po zalogowaniu w podglądzie postępowania w zakładce „Komunikacja”.</w:t>
      </w:r>
    </w:p>
    <w:p>
      <w:pPr>
        <w:pStyle w:val="Normal"/>
        <w:numPr>
          <w:ilvl w:val="0"/>
          <w:numId w:val="65"/>
        </w:numPr>
        <w:bidi w:val="0"/>
        <w:spacing w:lineRule="auto" w:line="360" w:before="0" w:after="0"/>
        <w:ind w:hanging="426" w:left="426"/>
        <w:jc w:val="both"/>
        <w:rPr>
          <w:rFonts w:ascii="Aptos" w:hAnsi="Aptos"/>
        </w:rPr>
      </w:pPr>
      <w:r>
        <w:rPr>
          <w:rFonts w:ascii="Aptos" w:hAnsi="Aptos"/>
        </w:rPr>
        <w:t>Maksymalny rozmiar plików przesyłanych za pośrednictwem „Formularzy do komunikacji” wynosi 150 MB (wielkość ta dotyczy plików przesyłanych jako załączniki do jednego formularza).</w:t>
      </w:r>
    </w:p>
    <w:p>
      <w:pPr>
        <w:pStyle w:val="Normal"/>
        <w:numPr>
          <w:ilvl w:val="0"/>
          <w:numId w:val="66"/>
        </w:numPr>
        <w:bidi w:val="0"/>
        <w:spacing w:lineRule="auto" w:line="360" w:before="0" w:after="0"/>
        <w:ind w:hanging="426" w:left="426"/>
        <w:jc w:val="both"/>
        <w:rPr>
          <w:rFonts w:ascii="Aptos" w:hAnsi="Aptos"/>
        </w:rPr>
      </w:pPr>
      <w:r>
        <w:rPr>
          <w:rFonts w:ascii="Aptos" w:hAnsi="Aptos"/>
        </w:rPr>
        <w:t>Minimalne wymagania techniczne dotyczące sprzętu używanego w celu korzystania z usług Platformy e-Zamówienia oraz informacje dotyczące specyfikacji połączenia określa Regulamin Platformy e-Zamówienia.</w:t>
      </w:r>
    </w:p>
    <w:p>
      <w:pPr>
        <w:pStyle w:val="Normal"/>
        <w:numPr>
          <w:ilvl w:val="0"/>
          <w:numId w:val="67"/>
        </w:numPr>
        <w:bidi w:val="0"/>
        <w:spacing w:lineRule="auto" w:line="360" w:before="0" w:after="0"/>
        <w:ind w:hanging="426" w:left="426"/>
        <w:jc w:val="both"/>
        <w:rPr>
          <w:rFonts w:ascii="Aptos" w:hAnsi="Aptos"/>
        </w:rPr>
      </w:pPr>
      <w:r>
        <w:rPr>
          <w:rFonts w:ascii="Aptos" w:hAnsi="Aptos"/>
        </w:rPr>
        <w:t>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https://ezamowienia.gov.pl w zakładce „Zgłoś problem”.</w:t>
      </w:r>
    </w:p>
    <w:p>
      <w:pPr>
        <w:pStyle w:val="Normal"/>
        <w:numPr>
          <w:ilvl w:val="0"/>
          <w:numId w:val="68"/>
        </w:numPr>
        <w:bidi w:val="0"/>
        <w:spacing w:lineRule="auto" w:line="360" w:before="0" w:after="0"/>
        <w:ind w:hanging="426" w:left="426"/>
        <w:jc w:val="both"/>
        <w:rPr>
          <w:rFonts w:ascii="Aptos" w:hAnsi="Aptos"/>
        </w:rPr>
      </w:pPr>
      <w:r>
        <w:rPr>
          <w:rFonts w:ascii="Aptos" w:hAnsi="Aptos"/>
        </w:rPr>
        <w:t>W szczególnie uzasadnionych przypadkach uniemożliwiających komunikację wykonawcy i Zamawiającego za pośrednictwem Platformy e-Zamówienia, Zamawiający dopuszcza komunikację za pomocą poczty elektronicznej na adres e-mail: ug@zielonki.pl (nie dotyczy składania ofert/wniosków o dopuszczenie do udziału w postępowaniu).</w:t>
      </w:r>
    </w:p>
    <w:p>
      <w:pPr>
        <w:pStyle w:val="Normal"/>
        <w:numPr>
          <w:ilvl w:val="0"/>
          <w:numId w:val="69"/>
        </w:numPr>
        <w:spacing w:lineRule="auto" w:line="360" w:before="0" w:after="0"/>
        <w:ind w:hanging="425" w:left="425"/>
        <w:jc w:val="both"/>
        <w:rPr>
          <w:rFonts w:ascii="Aptos" w:hAnsi="Aptos"/>
        </w:rPr>
      </w:pPr>
      <w:r>
        <w:rPr>
          <w:rFonts w:ascii="Aptos" w:hAnsi="Aptos"/>
          <w:b w:val="false"/>
          <w:bCs w:val="false"/>
          <w:sz w:val="24"/>
          <w:szCs w:val="24"/>
          <w:shd w:fill="auto" w:val="clear"/>
        </w:rPr>
        <w:t xml:space="preserve">We wszelkiej korespondencji związanej z niniejszym postępowaniem Zamawiający </w:t>
        <w:br/>
        <w:t xml:space="preserve">i Wykonawcy posługują się numerem sprawy: </w:t>
      </w:r>
      <w:r>
        <w:rPr>
          <w:rFonts w:ascii="Aptos" w:hAnsi="Aptos"/>
          <w:b/>
          <w:bCs/>
          <w:color w:val="000000"/>
          <w:sz w:val="24"/>
          <w:szCs w:val="24"/>
          <w:shd w:fill="auto" w:val="clear"/>
        </w:rPr>
        <w:t>DK.271.9.2024</w:t>
      </w:r>
      <w:r>
        <w:rPr>
          <w:rFonts w:ascii="Aptos" w:hAnsi="Aptos"/>
          <w:b/>
          <w:bCs/>
          <w:sz w:val="24"/>
          <w:szCs w:val="24"/>
          <w:shd w:fill="auto" w:val="clear"/>
        </w:rPr>
        <w:t>.</w:t>
      </w:r>
    </w:p>
    <w:p>
      <w:pPr>
        <w:pStyle w:val="Normal"/>
        <w:spacing w:lineRule="auto" w:line="360"/>
        <w:jc w:val="both"/>
        <w:rPr>
          <w:rFonts w:ascii="Aptos" w:hAnsi="Aptos"/>
          <w:sz w:val="24"/>
          <w:szCs w:val="24"/>
          <w:highlight w:val="none"/>
          <w:shd w:fill="auto" w:val="clear"/>
        </w:rPr>
      </w:pPr>
      <w:r>
        <w:rPr>
          <w:rFonts w:ascii="Aptos" w:hAnsi="Aptos"/>
          <w:sz w:val="24"/>
          <w:szCs w:val="24"/>
          <w:shd w:fill="auto" w:val="clear"/>
        </w:rPr>
      </w:r>
    </w:p>
    <w:p>
      <w:pPr>
        <w:pStyle w:val="Normal"/>
        <w:numPr>
          <w:ilvl w:val="0"/>
          <w:numId w:val="3"/>
        </w:numPr>
        <w:bidi w:val="0"/>
        <w:spacing w:lineRule="auto" w:line="360"/>
        <w:jc w:val="both"/>
        <w:rPr>
          <w:rFonts w:ascii="Aptos" w:hAnsi="Aptos"/>
        </w:rPr>
      </w:pPr>
      <w:r>
        <w:rPr>
          <w:rFonts w:ascii="Aptos" w:hAnsi="Aptos"/>
          <w:b/>
          <w:bCs/>
          <w:sz w:val="24"/>
          <w:szCs w:val="24"/>
          <w:shd w:fill="auto" w:val="clear"/>
        </w:rPr>
        <w:t xml:space="preserve"> </w:t>
      </w:r>
      <w:r>
        <w:rPr>
          <w:rFonts w:ascii="Aptos" w:hAnsi="Aptos"/>
          <w:b/>
          <w:bCs/>
          <w:sz w:val="24"/>
          <w:szCs w:val="24"/>
          <w:shd w:fill="auto" w:val="clear"/>
        </w:rPr>
        <w:t>Informacje o sposobie komunikowania się zamawiającego z wykonawcami w inny sposób niż przy użyciu środków komunikacji elektronicznej, w tym w przypadku zaistnienia jednej z sytuacji określonych w art. 65 ust. 1, art. 66 i art. 69;</w:t>
      </w:r>
    </w:p>
    <w:p>
      <w:pPr>
        <w:pStyle w:val="Normal"/>
        <w:spacing w:lineRule="auto" w:line="360"/>
        <w:jc w:val="both"/>
        <w:rPr>
          <w:rFonts w:ascii="Aptos" w:hAnsi="Aptos"/>
          <w:b w:val="false"/>
          <w:bCs w:val="false"/>
          <w:sz w:val="24"/>
          <w:szCs w:val="24"/>
          <w:highlight w:val="none"/>
          <w:shd w:fill="auto" w:val="clear"/>
        </w:rPr>
      </w:pPr>
      <w:r>
        <w:rPr>
          <w:rFonts w:ascii="Aptos" w:hAnsi="Aptos"/>
          <w:b w:val="false"/>
          <w:bCs w:val="false"/>
          <w:sz w:val="24"/>
          <w:szCs w:val="24"/>
          <w:shd w:fill="auto" w:val="clear"/>
        </w:rPr>
      </w:r>
    </w:p>
    <w:p>
      <w:pPr>
        <w:pStyle w:val="Normal"/>
        <w:widowControl/>
        <w:numPr>
          <w:ilvl w:val="0"/>
          <w:numId w:val="13"/>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 xml:space="preserve"> </w:t>
      </w:r>
      <w:r>
        <w:rPr>
          <w:rFonts w:ascii="Aptos" w:hAnsi="Aptos"/>
          <w:b w:val="false"/>
          <w:bCs w:val="false"/>
          <w:sz w:val="24"/>
          <w:szCs w:val="24"/>
          <w:shd w:fill="auto" w:val="clear"/>
        </w:rPr>
        <w:t>Zamawiający nie przewiduje odstąpienia od wymagania użycia środków komunikacji elektronicznej.</w:t>
      </w:r>
    </w:p>
    <w:p>
      <w:pPr>
        <w:pStyle w:val="Normal"/>
        <w:widowControl/>
        <w:numPr>
          <w:ilvl w:val="0"/>
          <w:numId w:val="13"/>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Zamawiający nie wymaga użycia narzędzi, urządzeń lub formatów plików, które nie są ogólnie dostępne.</w:t>
      </w:r>
    </w:p>
    <w:p>
      <w:pPr>
        <w:pStyle w:val="Normal"/>
        <w:widowControl/>
        <w:numPr>
          <w:ilvl w:val="0"/>
          <w:numId w:val="13"/>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Zamawiający nie wymaga sporządzenia i przedstawienia ofert lub prac konkursowych przy użyciu narzędzi elektronicznego modelowania danych budowlanych lub innych podobnych narzędzi, które nie są ogólnie dostępne.</w:t>
      </w:r>
    </w:p>
    <w:p>
      <w:pPr>
        <w:pStyle w:val="Normal"/>
        <w:spacing w:lineRule="auto" w:line="360"/>
        <w:jc w:val="both"/>
        <w:rPr>
          <w:rFonts w:ascii="Aptos" w:hAnsi="Aptos"/>
          <w:b/>
          <w:bCs/>
          <w:sz w:val="24"/>
          <w:szCs w:val="24"/>
          <w:highlight w:val="none"/>
          <w:shd w:fill="auto" w:val="clear"/>
        </w:rPr>
      </w:pPr>
      <w:r>
        <w:rPr>
          <w:rFonts w:ascii="Aptos" w:hAnsi="Aptos"/>
          <w:b/>
          <w:bCs/>
          <w:sz w:val="24"/>
          <w:szCs w:val="24"/>
          <w:shd w:fill="auto" w:val="clear"/>
        </w:rPr>
      </w:r>
    </w:p>
    <w:p>
      <w:pPr>
        <w:pStyle w:val="Normal"/>
        <w:numPr>
          <w:ilvl w:val="0"/>
          <w:numId w:val="3"/>
        </w:numPr>
        <w:spacing w:lineRule="auto" w:line="360"/>
        <w:jc w:val="both"/>
        <w:rPr>
          <w:rFonts w:ascii="Aptos" w:hAnsi="Aptos"/>
        </w:rPr>
      </w:pPr>
      <w:r>
        <w:rPr>
          <w:rFonts w:ascii="Aptos" w:hAnsi="Aptos"/>
          <w:b/>
          <w:bCs/>
          <w:sz w:val="24"/>
          <w:szCs w:val="24"/>
          <w:shd w:fill="auto" w:val="clear"/>
        </w:rPr>
        <w:t>Wskazanie osób uprawnionych do komunikowania się z wykonawcami.</w:t>
      </w:r>
    </w:p>
    <w:p>
      <w:pPr>
        <w:pStyle w:val="Normal"/>
        <w:spacing w:lineRule="auto" w:line="360"/>
        <w:jc w:val="both"/>
        <w:rPr>
          <w:rFonts w:ascii="Aptos" w:hAnsi="Aptos"/>
          <w:b/>
          <w:bCs/>
          <w:sz w:val="24"/>
          <w:szCs w:val="24"/>
          <w:highlight w:val="none"/>
          <w:shd w:fill="auto" w:val="clear"/>
        </w:rPr>
      </w:pPr>
      <w:r>
        <w:rPr>
          <w:rFonts w:ascii="Aptos" w:hAnsi="Aptos"/>
          <w:b/>
          <w:bCs/>
          <w:sz w:val="24"/>
          <w:szCs w:val="24"/>
          <w:shd w:fill="auto" w:val="clear"/>
        </w:rPr>
      </w:r>
    </w:p>
    <w:p>
      <w:pPr>
        <w:pStyle w:val="Normal"/>
        <w:widowControl/>
        <w:numPr>
          <w:ilvl w:val="1"/>
          <w:numId w:val="3"/>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Tomasz Jaje, tel. 12/285-08-50 wew. 305 – zagadnienia merytoryczne i proceduralne,</w:t>
      </w:r>
    </w:p>
    <w:p>
      <w:pPr>
        <w:pStyle w:val="Normal"/>
        <w:widowControl/>
        <w:numPr>
          <w:ilvl w:val="1"/>
          <w:numId w:val="3"/>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Paweł Banaś, tel. 600-473-647 – zagadnienia proceduralne.</w:t>
      </w:r>
    </w:p>
    <w:p>
      <w:pPr>
        <w:pStyle w:val="Normal"/>
        <w:spacing w:lineRule="auto" w:line="360"/>
        <w:jc w:val="both"/>
        <w:rPr>
          <w:rFonts w:ascii="Aptos" w:hAnsi="Aptos"/>
          <w:b/>
          <w:bCs/>
          <w:sz w:val="24"/>
          <w:szCs w:val="24"/>
          <w:highlight w:val="none"/>
          <w:shd w:fill="auto" w:val="clear"/>
        </w:rPr>
      </w:pPr>
      <w:r>
        <w:rPr>
          <w:rFonts w:ascii="Aptos" w:hAnsi="Aptos"/>
          <w:b/>
          <w:bCs/>
          <w:sz w:val="24"/>
          <w:szCs w:val="24"/>
          <w:shd w:fill="auto" w:val="clear"/>
        </w:rPr>
      </w:r>
    </w:p>
    <w:p>
      <w:pPr>
        <w:pStyle w:val="Normal"/>
        <w:numPr>
          <w:ilvl w:val="0"/>
          <w:numId w:val="3"/>
        </w:numPr>
        <w:spacing w:lineRule="auto" w:line="360"/>
        <w:jc w:val="both"/>
        <w:rPr>
          <w:rFonts w:ascii="Aptos" w:hAnsi="Aptos"/>
        </w:rPr>
      </w:pPr>
      <w:r>
        <w:rPr>
          <w:rFonts w:ascii="Aptos" w:hAnsi="Aptos"/>
          <w:b/>
          <w:bCs/>
          <w:sz w:val="24"/>
          <w:szCs w:val="24"/>
          <w:shd w:fill="auto" w:val="clear"/>
        </w:rPr>
        <w:t>Termin związania ofertą.</w:t>
      </w:r>
    </w:p>
    <w:p>
      <w:pPr>
        <w:pStyle w:val="Normal"/>
        <w:spacing w:lineRule="auto" w:line="360"/>
        <w:jc w:val="both"/>
        <w:rPr>
          <w:rFonts w:ascii="Aptos" w:hAnsi="Aptos"/>
          <w:b/>
          <w:bCs/>
          <w:sz w:val="24"/>
          <w:szCs w:val="24"/>
          <w:highlight w:val="none"/>
          <w:shd w:fill="auto" w:val="clear"/>
        </w:rPr>
      </w:pPr>
      <w:r>
        <w:rPr>
          <w:rFonts w:ascii="Aptos" w:hAnsi="Aptos"/>
          <w:b/>
          <w:bCs/>
          <w:sz w:val="24"/>
          <w:szCs w:val="24"/>
          <w:shd w:fill="auto" w:val="clear"/>
        </w:rPr>
      </w:r>
    </w:p>
    <w:p>
      <w:pPr>
        <w:pStyle w:val="Normal"/>
        <w:widowControl/>
        <w:numPr>
          <w:ilvl w:val="1"/>
          <w:numId w:val="3"/>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Wykonawca jest związany ofertą przez okres 30 dni, od dnia upływu terminu składania ofert, tj do dnia 9 listopada 2024 r.</w:t>
      </w:r>
    </w:p>
    <w:p>
      <w:pPr>
        <w:pStyle w:val="Normal"/>
        <w:widowControl/>
        <w:numPr>
          <w:ilvl w:val="1"/>
          <w:numId w:val="3"/>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W przypadku gdy wybór najkorzystniejszej oferty nie nastąpi przed upływem ww. terminu, zamawiający przed upływem terminu związania ofertą zwraca się jednokrotnie do wykonawców o wyrażenie zgody na przedłużenie tego terminu o wskazywany przez niego okres, nie dłuższy niż 30 dni.</w:t>
      </w:r>
    </w:p>
    <w:p>
      <w:pPr>
        <w:pStyle w:val="Normal"/>
        <w:widowControl/>
        <w:numPr>
          <w:ilvl w:val="1"/>
          <w:numId w:val="3"/>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Przedłużenie terminu związania ofertą, o którym mowa w ust. 2, wymaga złożenia przez wykonawcę pisemnego oświadczenia o wyrażeniu zgody na przedłużenie terminu związania ofertą.</w:t>
      </w:r>
    </w:p>
    <w:p>
      <w:pPr>
        <w:pStyle w:val="Normal"/>
        <w:widowControl/>
        <w:numPr>
          <w:ilvl w:val="1"/>
          <w:numId w:val="3"/>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Przedłużenie terminu związania ofertą, o którym mowa w ust. 2, następuje wraz z przedłużeniem okresu ważności wadium albo, jeżeli nie jest to możliwe, z wniesieniem nowego wadium na przedłużony okres związania ofertą.</w:t>
      </w:r>
    </w:p>
    <w:p>
      <w:pPr>
        <w:pStyle w:val="Normal"/>
        <w:spacing w:lineRule="auto" w:line="360"/>
        <w:jc w:val="both"/>
        <w:rPr>
          <w:rFonts w:ascii="Aptos" w:hAnsi="Aptos"/>
          <w:b/>
          <w:bCs/>
          <w:sz w:val="24"/>
          <w:szCs w:val="24"/>
          <w:highlight w:val="none"/>
          <w:shd w:fill="auto" w:val="clear"/>
        </w:rPr>
      </w:pPr>
      <w:r>
        <w:rPr>
          <w:rFonts w:ascii="Aptos" w:hAnsi="Aptos"/>
          <w:b/>
          <w:bCs/>
          <w:sz w:val="24"/>
          <w:szCs w:val="24"/>
          <w:shd w:fill="auto" w:val="clear"/>
        </w:rPr>
      </w:r>
    </w:p>
    <w:p>
      <w:pPr>
        <w:pStyle w:val="Normal"/>
        <w:numPr>
          <w:ilvl w:val="0"/>
          <w:numId w:val="3"/>
        </w:numPr>
        <w:spacing w:lineRule="auto" w:line="360"/>
        <w:jc w:val="both"/>
        <w:rPr>
          <w:rFonts w:ascii="Aptos" w:hAnsi="Aptos"/>
        </w:rPr>
      </w:pPr>
      <w:r>
        <w:rPr>
          <w:rFonts w:ascii="Aptos" w:hAnsi="Aptos"/>
          <w:b/>
          <w:bCs/>
          <w:sz w:val="24"/>
          <w:szCs w:val="24"/>
          <w:shd w:fill="auto" w:val="clear"/>
        </w:rPr>
        <w:t>Opis sposobu przygotowania oferty.</w:t>
      </w:r>
    </w:p>
    <w:p>
      <w:pPr>
        <w:pStyle w:val="Normal"/>
        <w:spacing w:lineRule="auto" w:line="360"/>
        <w:jc w:val="both"/>
        <w:rPr>
          <w:rFonts w:ascii="Aptos" w:hAnsi="Aptos"/>
          <w:b/>
          <w:bCs/>
          <w:sz w:val="24"/>
          <w:szCs w:val="24"/>
          <w:highlight w:val="none"/>
          <w:shd w:fill="auto" w:val="clear"/>
        </w:rPr>
      </w:pPr>
      <w:r>
        <w:rPr>
          <w:rFonts w:ascii="Aptos" w:hAnsi="Aptos"/>
          <w:b/>
          <w:bCs/>
          <w:sz w:val="24"/>
          <w:szCs w:val="24"/>
          <w:shd w:fill="auto" w:val="clear"/>
        </w:rPr>
      </w:r>
    </w:p>
    <w:p>
      <w:pPr>
        <w:pStyle w:val="Normal"/>
        <w:widowControl/>
        <w:numPr>
          <w:ilvl w:val="0"/>
          <w:numId w:val="6"/>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Każdy wykonawca może złożyć tylko jedną ofertę;</w:t>
      </w:r>
    </w:p>
    <w:p>
      <w:pPr>
        <w:pStyle w:val="Normal"/>
        <w:widowControl/>
        <w:numPr>
          <w:ilvl w:val="0"/>
          <w:numId w:val="6"/>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Ofertę należy sporządzić w postaci elektronicznej i opatrzeć kwalifikowanym podpisem elektronicznym, podpisem zaufanym lub podpisem osobistym;</w:t>
      </w:r>
    </w:p>
    <w:p>
      <w:pPr>
        <w:pStyle w:val="Normal"/>
        <w:widowControl/>
        <w:numPr>
          <w:ilvl w:val="0"/>
          <w:numId w:val="6"/>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Ofertę należy sporządzić w języku polskim;</w:t>
      </w:r>
    </w:p>
    <w:p>
      <w:pPr>
        <w:pStyle w:val="Normal"/>
        <w:widowControl/>
        <w:numPr>
          <w:ilvl w:val="0"/>
          <w:numId w:val="6"/>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Wymagane specyfikacją dokumenty, sporządzone w języku obcym powinny być złożone wraz z tłumaczeniem na język polski;</w:t>
      </w:r>
    </w:p>
    <w:p>
      <w:pPr>
        <w:pStyle w:val="Normal"/>
        <w:widowControl/>
        <w:numPr>
          <w:ilvl w:val="0"/>
          <w:numId w:val="6"/>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Formularz oferty wraz z załącznikami i dokumentami sporządzanymi przez wykonawcę powinien być podpisany przez osoby upoważnione do reprezentacji wykonawcy; w przypadku, gdy ofertę podpisują osoby, których upoważnienie do reprezentacji nie wynika z dokumentów rejestrowych, wymaga się aby wykonawca dołączył do oferty pełnomocnictwo;</w:t>
      </w:r>
    </w:p>
    <w:p>
      <w:pPr>
        <w:pStyle w:val="Normal"/>
        <w:widowControl/>
        <w:numPr>
          <w:ilvl w:val="0"/>
          <w:numId w:val="6"/>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Wykonawca ponosi wszelkie koszty związane z przygotowaniem i złożeniem oferty.</w:t>
      </w:r>
    </w:p>
    <w:p>
      <w:pPr>
        <w:pStyle w:val="Normal"/>
        <w:widowControl/>
        <w:numPr>
          <w:ilvl w:val="0"/>
          <w:numId w:val="6"/>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OFERTA POWINNA ZAWIERAĆ:</w:t>
      </w:r>
    </w:p>
    <w:p>
      <w:pPr>
        <w:pStyle w:val="Normal"/>
        <w:widowControl/>
        <w:numPr>
          <w:ilvl w:val="1"/>
          <w:numId w:val="6"/>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Formularz ofertowy przygotowany przy pomocy interaktywnego „Formularza ofertowego” udostępnionego przez zamawiającego na Platformie e-Zamówienia;</w:t>
      </w:r>
    </w:p>
    <w:p>
      <w:pPr>
        <w:pStyle w:val="Normal"/>
        <w:widowControl/>
        <w:numPr>
          <w:ilvl w:val="1"/>
          <w:numId w:val="6"/>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 xml:space="preserve">Kosztorys ofertowy sporządzony na podstawie wzoru tj. </w:t>
      </w:r>
      <w:r>
        <w:rPr>
          <w:rFonts w:ascii="Aptos" w:hAnsi="Aptos"/>
          <w:b/>
          <w:bCs/>
          <w:sz w:val="24"/>
          <w:szCs w:val="24"/>
          <w:shd w:fill="auto" w:val="clear"/>
        </w:rPr>
        <w:t>załącznika nr 2</w:t>
      </w:r>
      <w:r>
        <w:rPr>
          <w:rFonts w:ascii="Aptos" w:hAnsi="Aptos"/>
          <w:b w:val="false"/>
          <w:bCs w:val="false"/>
          <w:sz w:val="24"/>
          <w:szCs w:val="24"/>
          <w:shd w:fill="auto" w:val="clear"/>
        </w:rPr>
        <w:t xml:space="preserve"> do niniejszej SWZ. </w:t>
      </w:r>
    </w:p>
    <w:p>
      <w:pPr>
        <w:pStyle w:val="Normal"/>
        <w:widowControl/>
        <w:numPr>
          <w:ilvl w:val="1"/>
          <w:numId w:val="6"/>
        </w:numPr>
        <w:tabs>
          <w:tab w:val="clear" w:pos="720"/>
          <w:tab w:val="left" w:pos="851" w:leader="none"/>
        </w:tabs>
        <w:suppressAutoHyphens w:val="false"/>
        <w:overflowPunct w:val="false"/>
        <w:bidi w:val="0"/>
        <w:spacing w:lineRule="auto" w:line="360" w:before="0" w:after="0"/>
        <w:ind w:hanging="340" w:left="680" w:right="0"/>
        <w:jc w:val="both"/>
        <w:rPr>
          <w:rFonts w:ascii="Aptos" w:hAnsi="Aptos"/>
        </w:rPr>
      </w:pPr>
      <w:r>
        <w:rPr>
          <w:rFonts w:ascii="Aptos" w:hAnsi="Aptos"/>
        </w:rPr>
        <w:t>Aktualne na dzień składania ofert oświadczenie tymczasowo zastępujące podmiotowe środki dowodowe, że:</w:t>
      </w:r>
    </w:p>
    <w:p>
      <w:pPr>
        <w:pStyle w:val="Normal"/>
        <w:widowControl/>
        <w:numPr>
          <w:ilvl w:val="2"/>
          <w:numId w:val="6"/>
        </w:numPr>
        <w:suppressAutoHyphens w:val="false"/>
        <w:overflowPunct w:val="false"/>
        <w:bidi w:val="0"/>
        <w:spacing w:lineRule="auto" w:line="360" w:before="0" w:after="0"/>
        <w:ind w:hanging="340" w:left="1020" w:right="0"/>
        <w:jc w:val="both"/>
        <w:rPr>
          <w:rFonts w:ascii="Aptos" w:hAnsi="Aptos"/>
        </w:rPr>
      </w:pPr>
      <w:r>
        <w:rPr>
          <w:rFonts w:ascii="Aptos" w:hAnsi="Aptos"/>
        </w:rPr>
        <w:t>spełnia warunki udziału w postępowaniu (w zakresie i zgodnie z wzorem określonym w</w:t>
      </w:r>
      <w:r>
        <w:rPr>
          <w:rFonts w:ascii="Aptos" w:hAnsi="Aptos"/>
          <w:shd w:fill="auto" w:val="clear"/>
        </w:rPr>
        <w:t xml:space="preserve"> </w:t>
      </w:r>
      <w:r>
        <w:rPr>
          <w:rFonts w:ascii="Aptos" w:hAnsi="Aptos"/>
          <w:b/>
          <w:bCs/>
          <w:shd w:fill="auto" w:val="clear"/>
        </w:rPr>
        <w:t>załączniku nr 3</w:t>
      </w:r>
      <w:r>
        <w:rPr>
          <w:rFonts w:ascii="Aptos" w:hAnsi="Aptos"/>
          <w:shd w:fill="auto" w:val="clear"/>
        </w:rPr>
        <w:t xml:space="preserve"> do niniejszej SWZ),</w:t>
      </w:r>
    </w:p>
    <w:p>
      <w:pPr>
        <w:pStyle w:val="Normal"/>
        <w:widowControl/>
        <w:numPr>
          <w:ilvl w:val="2"/>
          <w:numId w:val="6"/>
        </w:numPr>
        <w:suppressAutoHyphens w:val="false"/>
        <w:overflowPunct w:val="false"/>
        <w:bidi w:val="0"/>
        <w:spacing w:lineRule="auto" w:line="360" w:before="0" w:after="0"/>
        <w:ind w:hanging="340" w:left="1020" w:right="0"/>
        <w:jc w:val="both"/>
        <w:rPr>
          <w:rFonts w:ascii="Aptos" w:hAnsi="Aptos"/>
        </w:rPr>
      </w:pPr>
      <w:r>
        <w:rPr>
          <w:rFonts w:ascii="Aptos" w:hAnsi="Aptos"/>
          <w:b w:val="false"/>
          <w:bCs w:val="false"/>
          <w:sz w:val="24"/>
          <w:szCs w:val="24"/>
          <w:shd w:fill="auto" w:val="clear"/>
        </w:rPr>
        <w:t xml:space="preserve">nie podlega wykluczeniu (w zakresie i zgodnie z wzorem określonym w </w:t>
      </w:r>
      <w:r>
        <w:rPr>
          <w:rFonts w:ascii="Aptos" w:hAnsi="Aptos"/>
          <w:b/>
          <w:bCs/>
          <w:sz w:val="24"/>
          <w:szCs w:val="24"/>
          <w:shd w:fill="auto" w:val="clear"/>
        </w:rPr>
        <w:t>załączniku nr 4</w:t>
      </w:r>
      <w:r>
        <w:rPr>
          <w:rFonts w:ascii="Aptos" w:hAnsi="Aptos"/>
          <w:b w:val="false"/>
          <w:bCs w:val="false"/>
          <w:sz w:val="24"/>
          <w:szCs w:val="24"/>
          <w:shd w:fill="auto" w:val="clear"/>
        </w:rPr>
        <w:t xml:space="preserve"> do niniejszej SWZ),</w:t>
      </w:r>
    </w:p>
    <w:p>
      <w:pPr>
        <w:pStyle w:val="Normal"/>
        <w:widowControl/>
        <w:numPr>
          <w:ilvl w:val="1"/>
          <w:numId w:val="6"/>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Pełnomocnictwo do reprezentowania Wykonawcy, w tym podpisania oferty, o ile prawo do podpisania oferty nie wynika z innych dokumentów złożonych wraz z ofertą. Treść pełnomocnictwa musi jednoznacznie określać czynności, co do wykonywania których pełnomocnik jest upoważniony;</w:t>
      </w:r>
    </w:p>
    <w:p>
      <w:pPr>
        <w:pStyle w:val="Normal"/>
        <w:widowControl/>
        <w:numPr>
          <w:ilvl w:val="1"/>
          <w:numId w:val="6"/>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pełnomocnictwo sporządza się w postaci elektronicznej i opatruje kwalifikowanym podpisem elektronicznym, podpisem zaufanym lub podpisem osobistym;</w:t>
      </w:r>
    </w:p>
    <w:p>
      <w:pPr>
        <w:pStyle w:val="Normal"/>
        <w:widowControl/>
        <w:numPr>
          <w:ilvl w:val="1"/>
          <w:numId w:val="6"/>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w przypadku gdy pełnomocnictwo, zostało sporządzone jako dokument w postaci papierowej i opatrzone własnoręcznym podpisem, przekazuje się cyfrowe odwzorowanie tego dokumentu (skan) opatrzone kwalifikowanym podpisem elektronicznym, podpisem zaufanym lub podpisem osobistym, poświadczającym zgodność cyfrowego odwzorowania z dokumentem w postaci papierowej. Poświadczenia zgodności cyfrowego odwzorowania z dokumentem w postaci papierowej, dokonuje mocodawca lub notariusz;</w:t>
      </w:r>
    </w:p>
    <w:p>
      <w:pPr>
        <w:pStyle w:val="Normal"/>
        <w:widowControl/>
        <w:numPr>
          <w:ilvl w:val="1"/>
          <w:numId w:val="6"/>
        </w:numPr>
        <w:tabs>
          <w:tab w:val="clear" w:pos="720"/>
          <w:tab w:val="left" w:pos="851" w:leader="none"/>
        </w:tabs>
        <w:suppressAutoHyphens w:val="false"/>
        <w:overflowPunct w:val="false"/>
        <w:bidi w:val="0"/>
        <w:spacing w:lineRule="auto" w:line="360" w:before="0" w:after="0"/>
        <w:ind w:hanging="340" w:left="680" w:right="0"/>
        <w:jc w:val="both"/>
        <w:rPr>
          <w:rFonts w:ascii="Aptos" w:hAnsi="Aptos"/>
        </w:rPr>
      </w:pPr>
      <w:r>
        <w:rPr>
          <w:rFonts w:ascii="Aptos" w:hAnsi="Aptos"/>
        </w:rPr>
        <w:t xml:space="preserve">Wykonawca, w przypadku polegania na zdolnościach lub sytuacji podmiotów udostępniających zasoby, przedstawia, wraz z oświadczeniem, o którym mowa w ust. 7 pkt 3, także oświadczenie podmiotu udostępniającego zasoby, potwierdzające brak podstaw wykluczenia tego podmiotu </w:t>
      </w:r>
      <w:r>
        <w:rPr>
          <w:rFonts w:ascii="Aptos" w:hAnsi="Aptos"/>
          <w:shd w:fill="auto" w:val="clear"/>
        </w:rPr>
        <w:t xml:space="preserve">(zgodnie z wzorem określonym w </w:t>
      </w:r>
      <w:r>
        <w:rPr>
          <w:rFonts w:ascii="Aptos" w:hAnsi="Aptos"/>
          <w:b/>
          <w:bCs/>
          <w:shd w:fill="auto" w:val="clear"/>
        </w:rPr>
        <w:t>załączniku nr 4</w:t>
      </w:r>
      <w:r>
        <w:rPr>
          <w:rFonts w:ascii="Aptos" w:hAnsi="Aptos"/>
          <w:shd w:fill="auto" w:val="clear"/>
        </w:rPr>
        <w:t xml:space="preserve"> do niniejszej SWZ) oraz odpowiednio spełnianie warunków udziału w postępowaniu, w zakresie, w jakim wykonawca powołuje się na jego zasoby (zgodnie z wzorem określonym w </w:t>
      </w:r>
      <w:r>
        <w:rPr>
          <w:rFonts w:ascii="Aptos" w:hAnsi="Aptos"/>
          <w:b/>
          <w:bCs/>
          <w:shd w:fill="auto" w:val="clear"/>
        </w:rPr>
        <w:t>załączniku nr 3</w:t>
      </w:r>
      <w:r>
        <w:rPr>
          <w:rFonts w:ascii="Aptos" w:hAnsi="Aptos"/>
          <w:shd w:fill="auto" w:val="clear"/>
        </w:rPr>
        <w:t xml:space="preserve"> do niniejszej SWZ).</w:t>
      </w:r>
    </w:p>
    <w:p>
      <w:pPr>
        <w:pStyle w:val="Normal"/>
        <w:widowControl/>
        <w:numPr>
          <w:ilvl w:val="1"/>
          <w:numId w:val="6"/>
        </w:numPr>
        <w:tabs>
          <w:tab w:val="clear" w:pos="720"/>
          <w:tab w:val="left" w:pos="851" w:leader="none"/>
        </w:tabs>
        <w:suppressAutoHyphens w:val="false"/>
        <w:overflowPunct w:val="false"/>
        <w:bidi w:val="0"/>
        <w:spacing w:lineRule="auto" w:line="360" w:before="0" w:after="0"/>
        <w:ind w:hanging="340" w:left="680" w:right="0"/>
        <w:jc w:val="both"/>
        <w:rPr>
          <w:rFonts w:ascii="Aptos" w:hAnsi="Aptos"/>
        </w:rPr>
      </w:pPr>
      <w:r>
        <w:rPr>
          <w:rFonts w:ascii="Aptos" w:hAnsi="Aptos"/>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zakresie i zgodnie z wzorem określonym </w:t>
      </w:r>
      <w:r>
        <w:rPr>
          <w:rFonts w:ascii="Aptos" w:hAnsi="Aptos"/>
          <w:shd w:fill="auto" w:val="clear"/>
        </w:rPr>
        <w:t xml:space="preserve">w </w:t>
      </w:r>
      <w:r>
        <w:rPr>
          <w:rFonts w:ascii="Aptos" w:hAnsi="Aptos"/>
          <w:b/>
          <w:bCs/>
          <w:shd w:fill="auto" w:val="clear"/>
        </w:rPr>
        <w:t>załączniku nr 5</w:t>
      </w:r>
      <w:r>
        <w:rPr>
          <w:rFonts w:ascii="Aptos" w:hAnsi="Aptos"/>
          <w:shd w:fill="auto" w:val="clear"/>
        </w:rPr>
        <w:t xml:space="preserve"> do niniejszej SWZ).</w:t>
      </w:r>
    </w:p>
    <w:p>
      <w:pPr>
        <w:pStyle w:val="Normal"/>
        <w:widowControl/>
        <w:numPr>
          <w:ilvl w:val="1"/>
          <w:numId w:val="6"/>
        </w:numPr>
        <w:tabs>
          <w:tab w:val="clear" w:pos="720"/>
          <w:tab w:val="left" w:pos="851" w:leader="none"/>
        </w:tabs>
        <w:suppressAutoHyphens w:val="false"/>
        <w:overflowPunct w:val="false"/>
        <w:bidi w:val="0"/>
        <w:spacing w:lineRule="auto" w:line="360" w:before="0" w:after="0"/>
        <w:ind w:hanging="340" w:left="680" w:right="0"/>
        <w:jc w:val="both"/>
        <w:rPr>
          <w:rFonts w:ascii="Aptos" w:hAnsi="Aptos"/>
        </w:rPr>
      </w:pPr>
      <w:r>
        <w:rPr>
          <w:rFonts w:ascii="Aptos" w:hAnsi="Aptos"/>
        </w:rPr>
        <w:t>Zobowiązanie podmiotu udostępniającego zasoby, o którym mowa w pkt 7, potwierdza, że stosunek łączący wykonawcę z podmiotami udostępniającymi zasoby gwarantuje rzeczywisty dostęp do tych zasobów oraz określa w szczególności:</w:t>
      </w:r>
    </w:p>
    <w:p>
      <w:pPr>
        <w:pStyle w:val="Normal"/>
        <w:widowControl/>
        <w:numPr>
          <w:ilvl w:val="2"/>
          <w:numId w:val="6"/>
        </w:numPr>
        <w:suppressAutoHyphens w:val="false"/>
        <w:overflowPunct w:val="false"/>
        <w:bidi w:val="0"/>
        <w:spacing w:lineRule="auto" w:line="360" w:before="0" w:after="0"/>
        <w:ind w:hanging="340" w:left="1020" w:right="0"/>
        <w:jc w:val="both"/>
        <w:rPr>
          <w:rFonts w:ascii="Aptos" w:hAnsi="Aptos"/>
        </w:rPr>
      </w:pPr>
      <w:r>
        <w:rPr>
          <w:rFonts w:ascii="Aptos" w:hAnsi="Aptos"/>
        </w:rPr>
        <w:t>zakres dostępnych wykonawcy zasobów podmiotu udostępniającego zasoby;</w:t>
      </w:r>
    </w:p>
    <w:p>
      <w:pPr>
        <w:pStyle w:val="Normal"/>
        <w:widowControl/>
        <w:numPr>
          <w:ilvl w:val="2"/>
          <w:numId w:val="6"/>
        </w:numPr>
        <w:suppressAutoHyphens w:val="false"/>
        <w:overflowPunct w:val="false"/>
        <w:bidi w:val="0"/>
        <w:spacing w:lineRule="auto" w:line="360" w:before="0" w:after="0"/>
        <w:ind w:hanging="340" w:left="1020" w:right="0"/>
        <w:jc w:val="both"/>
        <w:rPr>
          <w:rFonts w:ascii="Aptos" w:hAnsi="Aptos"/>
        </w:rPr>
      </w:pPr>
      <w:r>
        <w:rPr>
          <w:rFonts w:ascii="Aptos" w:hAnsi="Aptos"/>
          <w:b w:val="false"/>
          <w:bCs w:val="false"/>
          <w:sz w:val="24"/>
          <w:szCs w:val="24"/>
          <w:shd w:fill="auto" w:val="clear"/>
        </w:rPr>
        <w:t>sposób i okres udostępnienia wykonawcy i wykorzystania przez niego zasobów podmiotu udostępniającego te zasoby przy wykonywaniu zamówienia;</w:t>
      </w:r>
    </w:p>
    <w:p>
      <w:pPr>
        <w:pStyle w:val="Normal"/>
        <w:widowControl/>
        <w:numPr>
          <w:ilvl w:val="1"/>
          <w:numId w:val="6"/>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W sytuacji gdy nie jest możliwe przedstawienie zobowiązania podmiotu udostępniającego zasoby, Zamawiający wymaga aby Wykonawca załączył do oferty inny podmiotowy środek dowodowy, który będzie zawierał w szczególności następujące informacje:</w:t>
      </w:r>
    </w:p>
    <w:p>
      <w:pPr>
        <w:pStyle w:val="Normal"/>
        <w:widowControl/>
        <w:numPr>
          <w:ilvl w:val="2"/>
          <w:numId w:val="6"/>
        </w:numPr>
        <w:tabs>
          <w:tab w:val="clear" w:pos="720"/>
          <w:tab w:val="left" w:pos="1530" w:leader="none"/>
        </w:tabs>
        <w:suppressAutoHyphens w:val="true"/>
        <w:bidi w:val="0"/>
        <w:spacing w:lineRule="auto" w:line="360" w:before="0" w:after="0"/>
        <w:ind w:hanging="340" w:left="1020" w:right="0"/>
        <w:jc w:val="both"/>
        <w:rPr>
          <w:rFonts w:ascii="Aptos" w:hAnsi="Aptos"/>
        </w:rPr>
      </w:pPr>
      <w:r>
        <w:rPr>
          <w:rFonts w:ascii="Aptos" w:hAnsi="Aptos"/>
          <w:b w:val="false"/>
          <w:bCs w:val="false"/>
          <w:sz w:val="24"/>
          <w:szCs w:val="24"/>
          <w:shd w:fill="auto" w:val="clear"/>
        </w:rPr>
        <w:t xml:space="preserve">zakres dostępnych wykonawcy zasobów podmiotu udostępniającego zasoby, </w:t>
      </w:r>
    </w:p>
    <w:p>
      <w:pPr>
        <w:pStyle w:val="Normal"/>
        <w:widowControl/>
        <w:numPr>
          <w:ilvl w:val="2"/>
          <w:numId w:val="6"/>
        </w:numPr>
        <w:tabs>
          <w:tab w:val="clear" w:pos="720"/>
          <w:tab w:val="left" w:pos="1530" w:leader="none"/>
        </w:tabs>
        <w:suppressAutoHyphens w:val="true"/>
        <w:bidi w:val="0"/>
        <w:spacing w:lineRule="auto" w:line="360" w:before="0" w:after="0"/>
        <w:ind w:hanging="340" w:left="1020" w:right="0"/>
        <w:jc w:val="both"/>
        <w:rPr>
          <w:rFonts w:ascii="Aptos" w:hAnsi="Aptos"/>
        </w:rPr>
      </w:pPr>
      <w:r>
        <w:rPr>
          <w:rFonts w:ascii="Aptos" w:hAnsi="Aptos"/>
          <w:b w:val="false"/>
          <w:bCs w:val="false"/>
          <w:sz w:val="24"/>
          <w:szCs w:val="24"/>
          <w:shd w:fill="auto" w:val="clear"/>
        </w:rPr>
        <w:t>sposób i okres udostępnienia wykonawcy i wykorzystania przez niego zasobów podmiotu udostępniającego te zasoby przy wykonywaniu zamówienia,</w:t>
      </w:r>
    </w:p>
    <w:p>
      <w:pPr>
        <w:pStyle w:val="Normal"/>
        <w:widowControl/>
        <w:numPr>
          <w:ilvl w:val="2"/>
          <w:numId w:val="6"/>
        </w:numPr>
        <w:tabs>
          <w:tab w:val="clear" w:pos="720"/>
          <w:tab w:val="left" w:pos="1530" w:leader="none"/>
        </w:tabs>
        <w:suppressAutoHyphens w:val="true"/>
        <w:bidi w:val="0"/>
        <w:spacing w:lineRule="auto" w:line="360" w:before="0" w:after="0"/>
        <w:ind w:hanging="340" w:left="1020" w:right="0"/>
        <w:jc w:val="both"/>
        <w:rPr>
          <w:rFonts w:ascii="Aptos" w:hAnsi="Aptos"/>
        </w:rPr>
      </w:pPr>
      <w:r>
        <w:rPr>
          <w:rFonts w:ascii="Aptos" w:hAnsi="Aptos"/>
          <w:b w:val="false"/>
          <w:bCs w:val="false"/>
          <w:sz w:val="24"/>
          <w:szCs w:val="24"/>
          <w:shd w:fill="auto" w:val="clear"/>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pPr>
        <w:pStyle w:val="Normal"/>
        <w:widowControl/>
        <w:numPr>
          <w:ilvl w:val="1"/>
          <w:numId w:val="6"/>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Zamawiający oceni, czy udostępniane wykonawcy przez podmioty udostępniające zasoby zdolności techniczne lub zawodowe lub ich sytuacja finansowa lub ekonomiczna, pozwalają na wykazanie przez wykonawcę spełniania warunków udziału w postępowaniu, o których mowa w dziale VIII niniejszej SWZ, a także zbada, czy nie zachodzą wobec tego podmiotu podstawy wykluczenia, które zostały przewidziane względem wykonawcy.</w:t>
      </w:r>
    </w:p>
    <w:p>
      <w:pPr>
        <w:pStyle w:val="Normal"/>
        <w:widowControl/>
        <w:numPr>
          <w:ilvl w:val="1"/>
          <w:numId w:val="6"/>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Zobowiązanie podmiotu udostępniającego zasoby lub środek dowodowy, o którym mowa w pkt 7 sporządza się w postaci elektronicznej i opatruje się kwalifikowanym podpisem elektronicznym, podpisem zaufanym lub podpisem osobistym.</w:t>
      </w:r>
    </w:p>
    <w:p>
      <w:pPr>
        <w:pStyle w:val="Normal"/>
        <w:widowControl/>
        <w:numPr>
          <w:ilvl w:val="1"/>
          <w:numId w:val="6"/>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W przypadku gdy zobowiązanie podmiotu udostępniającego zasoby, zostało sporządzone jako dokument w postaci papierowej i opatrzone własnoręcznym podpisem, wówczas przekazuje się cyfrowe odwzorowanie tego dokumentu (skan) opatrzone kwalifikowanym podpisem elektronicznym, podpisem zaufanym lub podpisem osobistym. Poświadczenia zgodności cyfrowego odwzorowania z dokumentem w postaci papierowej, dokonuje wykonawca lub notariusz;</w:t>
      </w:r>
    </w:p>
    <w:p>
      <w:pPr>
        <w:pStyle w:val="Normal"/>
        <w:widowControl/>
        <w:numPr>
          <w:ilvl w:val="1"/>
          <w:numId w:val="6"/>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Pełnomocnictwo do reprezentowania Wykonawców w postępowaniu albo do reprezentowania w postępowaniu i zawarcia umowy w sprawie zamówienia – w przypadku Wykonawców wspólnie ubiegających się o udzielenie zamówienia;</w:t>
      </w:r>
    </w:p>
    <w:p>
      <w:pPr>
        <w:pStyle w:val="Normal"/>
        <w:widowControl/>
        <w:numPr>
          <w:ilvl w:val="1"/>
          <w:numId w:val="6"/>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pełnomocnictwo sporządza się w postaci elektronicznej i opatruje się kwalifikowanym podpisem elektronicznym, podpisem zaufanym lub podpisem osobistym;</w:t>
      </w:r>
    </w:p>
    <w:p>
      <w:pPr>
        <w:pStyle w:val="Normal"/>
        <w:widowControl/>
        <w:numPr>
          <w:ilvl w:val="1"/>
          <w:numId w:val="6"/>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w przypadku gdy pełnomocnictwo, zostało sporządzone jako dokument w postaci papierowej i opatrzone własnoręcznym podpisem, przekazuje się cyfrowe odwzorowanie tego dokumentu (skan) opatrzone kwalifikowanym podpisem elektronicznym, podpisem zaufanym lub podpisem osobistym poświadczającym zgodność cyfrowego odwzorowania z dokumentem w postaci papierowej. Poświadczenia zgodności cyfrowego odwzorowania z dokumentem w postaci papierowej, dokonuje mocodawca lub notariusz.</w:t>
      </w:r>
    </w:p>
    <w:p>
      <w:pPr>
        <w:pStyle w:val="Normal"/>
        <w:widowControl/>
        <w:numPr>
          <w:ilvl w:val="1"/>
          <w:numId w:val="6"/>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Oświadczenie z którego wynika, które roboty budowlane wykonają poszczególni wykonawcy - w przypadku Wykonawców wspólnie ubiegających się o udzielenie zamówienia;</w:t>
      </w:r>
    </w:p>
    <w:p>
      <w:pPr>
        <w:pStyle w:val="Normal"/>
        <w:widowControl/>
        <w:numPr>
          <w:ilvl w:val="1"/>
          <w:numId w:val="6"/>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Oświadczenie sporządza się w postaci elektronicznej i opatruje się kwalifikowanym podpisem elektronicznym, podpisem zaufanym lub podpisem osobistym;</w:t>
      </w:r>
    </w:p>
    <w:p>
      <w:pPr>
        <w:pStyle w:val="Normal"/>
        <w:widowControl/>
        <w:numPr>
          <w:ilvl w:val="1"/>
          <w:numId w:val="6"/>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W przypadku gdy oświadczenie, zostało sporządzone jako dokument w postaci papierowej i opatrzone własnoręcznym podpisem, wówczas przekazuje się cyfrowe odwzorowanie tego dokumentu (skan) opatrzone kwalifikowanym podpisem elektronicznym, podpisem zaufanym lub podpisem osobistym. Poświadczenia zgodności cyfrowego odwzorowania z dokumentem w postaci papierowej, dokonuje odpowiednio wykonawca, wykonawca wspólnie ubiegający się o udzielenie zamówienia lub notariusz;</w:t>
      </w:r>
    </w:p>
    <w:p>
      <w:pPr>
        <w:pStyle w:val="Normal"/>
        <w:widowControl/>
        <w:numPr>
          <w:ilvl w:val="1"/>
          <w:numId w:val="6"/>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Wyjaśnienia uzasadniające zastrzeżenie tajemnicy przedsiębiorstwa - jeżeli dotyczy;</w:t>
      </w:r>
    </w:p>
    <w:p>
      <w:pPr>
        <w:pStyle w:val="Normal"/>
        <w:widowControl/>
        <w:numPr>
          <w:ilvl w:val="1"/>
          <w:numId w:val="6"/>
        </w:numPr>
        <w:suppressAutoHyphens w:val="true"/>
        <w:bidi w:val="0"/>
        <w:spacing w:lineRule="auto" w:line="360" w:before="0" w:after="0"/>
        <w:ind w:hanging="340" w:left="680" w:right="0"/>
        <w:jc w:val="both"/>
        <w:rPr>
          <w:rFonts w:ascii="Aptos" w:hAnsi="Aptos"/>
        </w:rPr>
      </w:pPr>
      <w:r>
        <w:rPr>
          <w:rFonts w:ascii="Aptos" w:hAnsi="Aptos"/>
        </w:rPr>
        <w:t>Wykonawcy mogą wspólnie ubiegać się o udzielenie zamówienia. Wykonawca na platformie e-Zamówienia wypełnia „Formularz ofertowy” i określa, czy składa ofertę pojedynczo, czy wspólnie z innymi Wykonawcami. Wykonawca zobowiązany jest do zweryfikowania poprawności danych automatycznie pobranych przez system z jego konta i uzupełnienia pozostałych informacji dotyczących Wykonawców.</w:t>
      </w:r>
    </w:p>
    <w:p>
      <w:pPr>
        <w:pStyle w:val="Normal"/>
        <w:widowControl/>
        <w:numPr>
          <w:ilvl w:val="1"/>
          <w:numId w:val="6"/>
        </w:numPr>
        <w:suppressAutoHyphens w:val="true"/>
        <w:bidi w:val="0"/>
        <w:spacing w:lineRule="auto" w:line="360" w:before="0" w:after="0"/>
        <w:ind w:hanging="340" w:left="680" w:right="0"/>
        <w:jc w:val="both"/>
        <w:rPr>
          <w:rFonts w:ascii="Aptos" w:hAnsi="Aptos"/>
        </w:rPr>
      </w:pPr>
      <w:r>
        <w:rPr>
          <w:rFonts w:ascii="Aptos" w:hAnsi="Aptos"/>
        </w:rPr>
        <w:t>W przypadku, o którym mowa w ust. 21, wykonawcy ustanawiają pełnomocnika do reprezentowania ich w postępowaniu o udzielenie zamówienia albo do reprezentowania w postępowaniu i zawarcia umowy w sprawie zamówienia publicznego.</w:t>
      </w:r>
    </w:p>
    <w:p>
      <w:pPr>
        <w:pStyle w:val="Normal"/>
        <w:widowControl/>
        <w:numPr>
          <w:ilvl w:val="1"/>
          <w:numId w:val="6"/>
        </w:numPr>
        <w:suppressAutoHyphens w:val="true"/>
        <w:bidi w:val="0"/>
        <w:spacing w:lineRule="auto" w:line="360" w:before="0" w:after="0"/>
        <w:ind w:hanging="340" w:left="680" w:right="0"/>
        <w:jc w:val="both"/>
        <w:rPr>
          <w:rFonts w:ascii="Aptos" w:hAnsi="Aptos"/>
        </w:rPr>
      </w:pPr>
      <w:r>
        <w:rPr>
          <w:rFonts w:ascii="Aptos" w:hAnsi="Aptos"/>
        </w:rPr>
        <w:t>W przypadku wspólnego ubiegania się o zamówienie przez wykonawców, oświadczenie,</w:t>
      </w:r>
      <w:r>
        <w:rPr>
          <w:rFonts w:ascii="Aptos" w:hAnsi="Aptos"/>
          <w:shd w:fill="auto" w:val="clear"/>
        </w:rPr>
        <w:t xml:space="preserve"> o którym mowa w ust. 7 pkt 3, </w:t>
      </w:r>
      <w:r>
        <w:rPr>
          <w:rFonts w:ascii="Aptos" w:hAnsi="Aptos"/>
        </w:rPr>
        <w:t>składa każdy z wykonawców. Oświadczenia te potwierdzają brak podstaw wykluczenia oraz spełnianie warunków udziału w postępowaniu, w jakim każdy z wykonawców wykazuje spełnianie warunków udziału w postępowaniu lub kryteriów selekcji.</w:t>
      </w:r>
    </w:p>
    <w:p>
      <w:pPr>
        <w:pStyle w:val="Normal"/>
        <w:widowControl/>
        <w:numPr>
          <w:ilvl w:val="1"/>
          <w:numId w:val="6"/>
        </w:numPr>
        <w:suppressAutoHyphens w:val="true"/>
        <w:bidi w:val="0"/>
        <w:spacing w:lineRule="auto" w:line="360" w:before="0" w:after="0"/>
        <w:ind w:hanging="340" w:left="680" w:right="0"/>
        <w:jc w:val="both"/>
        <w:rPr>
          <w:rFonts w:ascii="Aptos" w:hAnsi="Aptos"/>
        </w:rPr>
      </w:pPr>
      <w:r>
        <w:rPr>
          <w:rFonts w:ascii="Aptos" w:hAnsi="Aptos"/>
        </w:rPr>
        <w:t>W przypadku wspólnego ubiegania się Wykonawców o udzielenie zamówienia, do oferty należy dołączyć pełnomocnictwo sporządzone w formie pisemnej, określające osobę pełnomocnika, zakres reprezentacji oraz zawierające wskazanie postępowania o udzielenie niniejszego zamówienia. Pełnomocnictwo należy załączyć w formie oryginału lub kopii poświadczonej notarialnie.</w:t>
      </w:r>
    </w:p>
    <w:p>
      <w:pPr>
        <w:pStyle w:val="Normal"/>
        <w:widowControl/>
        <w:numPr>
          <w:ilvl w:val="1"/>
          <w:numId w:val="6"/>
        </w:numPr>
        <w:suppressAutoHyphens w:val="true"/>
        <w:bidi w:val="0"/>
        <w:spacing w:lineRule="auto" w:line="360" w:before="0" w:after="0"/>
        <w:ind w:hanging="340" w:left="680" w:right="0"/>
        <w:jc w:val="both"/>
        <w:rPr>
          <w:rFonts w:ascii="Aptos" w:hAnsi="Aptos"/>
        </w:rPr>
      </w:pPr>
      <w:r>
        <w:rPr>
          <w:rFonts w:ascii="Aptos" w:hAnsi="Aptos"/>
        </w:rPr>
        <w:t>Sposób składania oświadczeń i dokumentów przez Wykonawców wspólnie ubiegających się o udzielenie zamówienia:</w:t>
      </w:r>
    </w:p>
    <w:p>
      <w:pPr>
        <w:pStyle w:val="Normal"/>
        <w:widowControl/>
        <w:numPr>
          <w:ilvl w:val="2"/>
          <w:numId w:val="6"/>
        </w:numPr>
        <w:suppressAutoHyphens w:val="true"/>
        <w:bidi w:val="0"/>
        <w:spacing w:lineRule="auto" w:line="360" w:before="0" w:after="0"/>
        <w:ind w:hanging="340" w:left="1020" w:right="0"/>
        <w:jc w:val="both"/>
        <w:rPr>
          <w:rFonts w:ascii="Aptos" w:hAnsi="Aptos"/>
        </w:rPr>
      </w:pPr>
      <w:r>
        <w:rPr>
          <w:rFonts w:ascii="Aptos" w:hAnsi="Aptos"/>
        </w:rPr>
        <w:t>Dokumenty o braku podstaw do wykluczenia każdy z Wykonawców wspólnie ubiegających się o udzielenie zamówienia składa osobno.</w:t>
      </w:r>
    </w:p>
    <w:p>
      <w:pPr>
        <w:pStyle w:val="Normal"/>
        <w:widowControl/>
        <w:numPr>
          <w:ilvl w:val="2"/>
          <w:numId w:val="6"/>
        </w:numPr>
        <w:suppressAutoHyphens w:val="true"/>
        <w:bidi w:val="0"/>
        <w:spacing w:lineRule="auto" w:line="360" w:before="0" w:after="0"/>
        <w:ind w:hanging="340" w:left="1020" w:right="0"/>
        <w:jc w:val="both"/>
        <w:rPr>
          <w:rFonts w:ascii="Aptos" w:hAnsi="Aptos"/>
        </w:rPr>
      </w:pPr>
      <w:r>
        <w:rPr>
          <w:rFonts w:ascii="Aptos" w:hAnsi="Aptos"/>
        </w:rPr>
        <w:t>Dokumenty potwierdzające spełnienia postawionych przez Zamawiającego warunków, składają ci z Wykonawców wspólnie ubiegających się o udzielenie zamówienia, którzy odpowiadają za ich spełnienie.</w:t>
      </w:r>
    </w:p>
    <w:p>
      <w:pPr>
        <w:pStyle w:val="Normal"/>
        <w:widowControl/>
        <w:numPr>
          <w:ilvl w:val="2"/>
          <w:numId w:val="6"/>
        </w:numPr>
        <w:suppressAutoHyphens w:val="true"/>
        <w:bidi w:val="0"/>
        <w:spacing w:lineRule="auto" w:line="360" w:before="0" w:after="0"/>
        <w:ind w:hanging="340" w:left="1020" w:right="0"/>
        <w:jc w:val="both"/>
        <w:rPr>
          <w:rFonts w:ascii="Aptos" w:hAnsi="Aptos"/>
        </w:rPr>
      </w:pPr>
      <w:r>
        <w:rPr>
          <w:rFonts w:ascii="Aptos" w:hAnsi="Aptos"/>
        </w:rPr>
        <w:t>Ofertę składa (podpisuje) pełnomocnik w imieniu wszystkich Wykonawców wspólnie ubiegających się o udzielenie zamówienia lub wszyscy Wykonawcy wspólnie ubiegający się o udzielenie zamówienia na zasadach ogólnych;</w:t>
      </w:r>
    </w:p>
    <w:p>
      <w:pPr>
        <w:pStyle w:val="Normal"/>
        <w:widowControl/>
        <w:numPr>
          <w:ilvl w:val="1"/>
          <w:numId w:val="6"/>
        </w:numPr>
        <w:suppressAutoHyphens w:val="true"/>
        <w:bidi w:val="0"/>
        <w:spacing w:lineRule="auto" w:line="360" w:before="0" w:after="0"/>
        <w:ind w:hanging="340" w:left="680" w:right="0"/>
        <w:jc w:val="both"/>
        <w:rPr>
          <w:rFonts w:ascii="Aptos" w:hAnsi="Aptos"/>
        </w:rPr>
      </w:pPr>
      <w:r>
        <w:rPr>
          <w:rFonts w:ascii="Aptos" w:hAnsi="Aptos"/>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pPr>
        <w:pStyle w:val="Normal"/>
        <w:widowControl/>
        <w:numPr>
          <w:ilvl w:val="1"/>
          <w:numId w:val="6"/>
        </w:numPr>
        <w:suppressAutoHyphens w:val="true"/>
        <w:bidi w:val="0"/>
        <w:spacing w:lineRule="auto" w:line="360" w:before="0" w:after="0"/>
        <w:ind w:hanging="340" w:left="680" w:right="0"/>
        <w:jc w:val="both"/>
        <w:rPr>
          <w:rFonts w:ascii="Aptos" w:hAnsi="Aptos"/>
        </w:rPr>
      </w:pPr>
      <w:r>
        <w:rPr>
          <w:rFonts w:ascii="Aptos" w:hAnsi="Aptos"/>
        </w:rPr>
        <w:t>W przypadku, o którym mowa w pkt. 6, wykonawcy wspólnie ubiegający się o udzielenie zamówienia dołączają do oferty oświadczenie, z którego wynika, które roboty budowlane, dostawy lub usługi wykonają poszczególni wykonawcy.</w:t>
      </w:r>
    </w:p>
    <w:p>
      <w:pPr>
        <w:pStyle w:val="Normal"/>
        <w:spacing w:lineRule="auto" w:line="360"/>
        <w:jc w:val="both"/>
        <w:rPr>
          <w:rFonts w:ascii="Aptos" w:hAnsi="Aptos"/>
          <w:b w:val="false"/>
          <w:bCs w:val="false"/>
          <w:sz w:val="24"/>
          <w:szCs w:val="24"/>
          <w:highlight w:val="none"/>
          <w:shd w:fill="auto" w:val="clear"/>
        </w:rPr>
      </w:pPr>
      <w:r>
        <w:rPr>
          <w:rFonts w:ascii="Aptos" w:hAnsi="Aptos"/>
          <w:b w:val="false"/>
          <w:bCs w:val="false"/>
          <w:sz w:val="24"/>
          <w:szCs w:val="24"/>
          <w:shd w:fill="auto" w:val="clear"/>
        </w:rPr>
      </w:r>
    </w:p>
    <w:p>
      <w:pPr>
        <w:pStyle w:val="Normal"/>
        <w:numPr>
          <w:ilvl w:val="0"/>
          <w:numId w:val="3"/>
        </w:numPr>
        <w:spacing w:lineRule="auto" w:line="360"/>
        <w:jc w:val="both"/>
        <w:rPr>
          <w:rFonts w:ascii="Aptos" w:hAnsi="Aptos"/>
        </w:rPr>
      </w:pPr>
      <w:r>
        <w:rPr>
          <w:rFonts w:ascii="Aptos" w:hAnsi="Aptos"/>
          <w:b/>
          <w:bCs/>
          <w:sz w:val="24"/>
          <w:szCs w:val="24"/>
          <w:shd w:fill="auto" w:val="clear"/>
        </w:rPr>
        <w:t>Sposób oraz termin składania ofert.</w:t>
      </w:r>
    </w:p>
    <w:p>
      <w:pPr>
        <w:pStyle w:val="Normal"/>
        <w:spacing w:lineRule="auto" w:line="360"/>
        <w:jc w:val="both"/>
        <w:rPr>
          <w:rFonts w:ascii="Aptos" w:hAnsi="Aptos"/>
          <w:b/>
          <w:bCs/>
          <w:sz w:val="24"/>
          <w:szCs w:val="24"/>
          <w:highlight w:val="none"/>
          <w:shd w:fill="auto" w:val="clear"/>
        </w:rPr>
      </w:pPr>
      <w:r>
        <w:rPr>
          <w:rFonts w:ascii="Aptos" w:hAnsi="Aptos"/>
          <w:b/>
          <w:bCs/>
          <w:sz w:val="24"/>
          <w:szCs w:val="24"/>
          <w:shd w:fill="auto" w:val="clear"/>
        </w:rPr>
      </w:r>
    </w:p>
    <w:p>
      <w:pPr>
        <w:pStyle w:val="Normal"/>
        <w:widowControl/>
        <w:numPr>
          <w:ilvl w:val="0"/>
          <w:numId w:val="7"/>
        </w:numPr>
        <w:tabs>
          <w:tab w:val="clear" w:pos="720"/>
          <w:tab w:val="left" w:pos="851" w:leader="none"/>
        </w:tabs>
        <w:suppressAutoHyphens w:val="false"/>
        <w:overflowPunct w:val="false"/>
        <w:bidi w:val="0"/>
        <w:spacing w:lineRule="auto" w:line="360" w:before="0" w:after="0"/>
        <w:ind w:hanging="340" w:left="340" w:right="0"/>
        <w:jc w:val="both"/>
        <w:rPr>
          <w:rFonts w:ascii="Aptos" w:hAnsi="Aptos"/>
        </w:rPr>
      </w:pPr>
      <w:r>
        <w:rPr>
          <w:rFonts w:cs="Cambria" w:ascii="Aptos" w:hAnsi="Aptos"/>
        </w:rPr>
        <w:t>Ofertę należy sporządzić w języku polskim.</w:t>
      </w:r>
    </w:p>
    <w:p>
      <w:pPr>
        <w:pStyle w:val="Normal"/>
        <w:widowControl/>
        <w:numPr>
          <w:ilvl w:val="0"/>
          <w:numId w:val="7"/>
        </w:numPr>
        <w:tabs>
          <w:tab w:val="clear" w:pos="720"/>
          <w:tab w:val="left" w:pos="851" w:leader="none"/>
        </w:tabs>
        <w:suppressAutoHyphens w:val="false"/>
        <w:overflowPunct w:val="false"/>
        <w:bidi w:val="0"/>
        <w:spacing w:lineRule="auto" w:line="360" w:before="0" w:after="0"/>
        <w:ind w:hanging="340" w:left="340" w:right="0"/>
        <w:jc w:val="both"/>
        <w:rPr>
          <w:rFonts w:ascii="Aptos" w:hAnsi="Aptos"/>
        </w:rPr>
      </w:pPr>
      <w:r>
        <w:rPr>
          <w:rFonts w:ascii="Aptos" w:hAnsi="Aptos"/>
        </w:rPr>
        <w:t>Wykonawca przygotowuje ofertę przy pomocy interaktywnego „Formularza ofertowego” udostępnionego przez Zamawiającego na Platformie e-Zamówienia i zamieszczonego w podglądzie postępowania w zakładce „Informacje podstawowe”.</w:t>
      </w:r>
    </w:p>
    <w:p>
      <w:pPr>
        <w:pStyle w:val="Normal"/>
        <w:widowControl/>
        <w:numPr>
          <w:ilvl w:val="0"/>
          <w:numId w:val="7"/>
        </w:numPr>
        <w:tabs>
          <w:tab w:val="clear" w:pos="720"/>
          <w:tab w:val="left" w:pos="851" w:leader="none"/>
        </w:tabs>
        <w:suppressAutoHyphens w:val="false"/>
        <w:overflowPunct w:val="false"/>
        <w:bidi w:val="0"/>
        <w:spacing w:lineRule="auto" w:line="360" w:before="0" w:after="0"/>
        <w:ind w:hanging="340" w:left="340" w:right="0"/>
        <w:jc w:val="both"/>
        <w:rPr>
          <w:rFonts w:ascii="Aptos" w:hAnsi="Aptos"/>
        </w:rPr>
      </w:pPr>
      <w:r>
        <w:rPr>
          <w:rFonts w:ascii="Aptos" w:hAnsi="Aptos"/>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pPr>
        <w:pStyle w:val="Normal"/>
        <w:widowControl/>
        <w:numPr>
          <w:ilvl w:val="0"/>
          <w:numId w:val="7"/>
        </w:numPr>
        <w:tabs>
          <w:tab w:val="clear" w:pos="720"/>
          <w:tab w:val="left" w:pos="851" w:leader="none"/>
        </w:tabs>
        <w:suppressAutoHyphens w:val="false"/>
        <w:overflowPunct w:val="false"/>
        <w:bidi w:val="0"/>
        <w:spacing w:lineRule="auto" w:line="360" w:before="0" w:after="0"/>
        <w:ind w:hanging="340" w:left="340" w:right="0"/>
        <w:jc w:val="both"/>
        <w:rPr>
          <w:rFonts w:ascii="Aptos" w:hAnsi="Aptos"/>
        </w:rPr>
      </w:pPr>
      <w:r>
        <w:rPr>
          <w:rFonts w:ascii="Aptos" w:hAnsi="Aptos"/>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w:t>
      </w:r>
      <w:r>
        <w:rPr>
          <w:rFonts w:ascii="Aptos" w:hAnsi="Aptos"/>
          <w:u w:val="single"/>
        </w:rPr>
        <w:t>Uwaga! Nie należy zmieniać nazwy pliku nadanej przez Platformę e-Zamówienia. Zapisany „Formularz ofertowy” należy zawsze otwierać w programie Adobe Acrobat Reader</w:t>
      </w:r>
      <w:r>
        <w:rPr>
          <w:rFonts w:ascii="Aptos" w:hAnsi="Aptos"/>
        </w:rPr>
        <w:t>.</w:t>
      </w:r>
    </w:p>
    <w:p>
      <w:pPr>
        <w:pStyle w:val="Normal"/>
        <w:widowControl/>
        <w:numPr>
          <w:ilvl w:val="0"/>
          <w:numId w:val="7"/>
        </w:numPr>
        <w:tabs>
          <w:tab w:val="clear" w:pos="720"/>
          <w:tab w:val="left" w:pos="851" w:leader="none"/>
        </w:tabs>
        <w:suppressAutoHyphens w:val="false"/>
        <w:overflowPunct w:val="false"/>
        <w:bidi w:val="0"/>
        <w:spacing w:lineRule="auto" w:line="360" w:before="0" w:after="0"/>
        <w:ind w:hanging="340" w:left="340" w:right="0"/>
        <w:jc w:val="both"/>
        <w:rPr>
          <w:rFonts w:ascii="Aptos" w:hAnsi="Aptos"/>
        </w:rPr>
      </w:pPr>
      <w:r>
        <w:rPr>
          <w:rFonts w:ascii="Aptos" w:hAnsi="Aptos"/>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pPr>
        <w:pStyle w:val="Normal"/>
        <w:widowControl/>
        <w:numPr>
          <w:ilvl w:val="0"/>
          <w:numId w:val="7"/>
        </w:numPr>
        <w:tabs>
          <w:tab w:val="clear" w:pos="720"/>
          <w:tab w:val="left" w:pos="851" w:leader="none"/>
        </w:tabs>
        <w:suppressAutoHyphens w:val="false"/>
        <w:overflowPunct w:val="false"/>
        <w:bidi w:val="0"/>
        <w:spacing w:lineRule="auto" w:line="360" w:before="0" w:after="0"/>
        <w:ind w:hanging="340" w:left="340" w:right="0"/>
        <w:jc w:val="both"/>
        <w:rPr>
          <w:rFonts w:ascii="Aptos" w:hAnsi="Aptos"/>
        </w:rPr>
      </w:pPr>
      <w:r>
        <w:rPr>
          <w:rFonts w:ascii="Aptos" w:hAnsi="Aptos"/>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pPr>
        <w:pStyle w:val="Normal"/>
        <w:widowControl/>
        <w:numPr>
          <w:ilvl w:val="0"/>
          <w:numId w:val="7"/>
        </w:numPr>
        <w:tabs>
          <w:tab w:val="clear" w:pos="720"/>
          <w:tab w:val="left" w:pos="851" w:leader="none"/>
        </w:tabs>
        <w:suppressAutoHyphens w:val="false"/>
        <w:overflowPunct w:val="false"/>
        <w:bidi w:val="0"/>
        <w:spacing w:lineRule="auto" w:line="360" w:before="0" w:after="0"/>
        <w:ind w:hanging="340" w:left="340" w:right="0"/>
        <w:jc w:val="both"/>
        <w:rPr>
          <w:rFonts w:ascii="Aptos" w:hAnsi="Aptos"/>
        </w:rPr>
      </w:pPr>
      <w:r>
        <w:rPr>
          <w:rFonts w:ascii="Aptos" w:hAnsi="Aptos"/>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pPr>
        <w:pStyle w:val="Normal"/>
        <w:widowControl/>
        <w:numPr>
          <w:ilvl w:val="0"/>
          <w:numId w:val="7"/>
        </w:numPr>
        <w:tabs>
          <w:tab w:val="clear" w:pos="720"/>
          <w:tab w:val="left" w:pos="851" w:leader="none"/>
        </w:tabs>
        <w:suppressAutoHyphens w:val="false"/>
        <w:overflowPunct w:val="false"/>
        <w:bidi w:val="0"/>
        <w:spacing w:lineRule="auto" w:line="360" w:before="0" w:after="0"/>
        <w:ind w:hanging="340" w:left="340" w:right="0"/>
        <w:jc w:val="both"/>
        <w:rPr>
          <w:rFonts w:ascii="Aptos" w:hAnsi="Aptos"/>
        </w:rPr>
      </w:pPr>
      <w:r>
        <w:rPr>
          <w:rFonts w:ascii="Aptos" w:hAnsi="Aptos"/>
        </w:rPr>
        <w:t>W przypadku jeżeli Wykonawca zamierza realizować zamówienie przy pomocy podwykonawcy/ów, w interaktywnym formularzu ofertowym należy wskazać część zamówienia, którego wykonanie Wykonawca zamierza powierzyć podwykonawcy/om oraz podać nazwę ewentualnych podwykonawców, jeżeli są już znani.</w:t>
      </w:r>
    </w:p>
    <w:p>
      <w:pPr>
        <w:pStyle w:val="Normal"/>
        <w:widowControl/>
        <w:numPr>
          <w:ilvl w:val="0"/>
          <w:numId w:val="7"/>
        </w:numPr>
        <w:tabs>
          <w:tab w:val="clear" w:pos="720"/>
          <w:tab w:val="left" w:pos="851" w:leader="none"/>
        </w:tabs>
        <w:suppressAutoHyphens w:val="false"/>
        <w:overflowPunct w:val="false"/>
        <w:bidi w:val="0"/>
        <w:spacing w:lineRule="auto" w:line="360" w:before="0" w:after="0"/>
        <w:ind w:hanging="340" w:left="340" w:right="0"/>
        <w:jc w:val="both"/>
        <w:rPr>
          <w:rFonts w:ascii="Aptos" w:hAnsi="Aptos"/>
        </w:rPr>
      </w:pPr>
      <w:r>
        <w:rPr>
          <w:rFonts w:ascii="Aptos" w:hAnsi="Aptos"/>
        </w:rPr>
        <w:t>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pPr>
        <w:pStyle w:val="Normal"/>
        <w:widowControl/>
        <w:numPr>
          <w:ilvl w:val="0"/>
          <w:numId w:val="7"/>
        </w:numPr>
        <w:tabs>
          <w:tab w:val="clear" w:pos="720"/>
          <w:tab w:val="left" w:pos="851" w:leader="none"/>
        </w:tabs>
        <w:suppressAutoHyphens w:val="false"/>
        <w:overflowPunct w:val="false"/>
        <w:bidi w:val="0"/>
        <w:spacing w:lineRule="auto" w:line="360" w:before="0" w:after="0"/>
        <w:ind w:hanging="340" w:left="340" w:right="0"/>
        <w:jc w:val="both"/>
        <w:rPr>
          <w:rFonts w:ascii="Aptos" w:hAnsi="Aptos"/>
        </w:rPr>
      </w:pPr>
      <w:r>
        <w:rPr>
          <w:rFonts w:ascii="Aptos" w:hAnsi="Aptos"/>
        </w:rPr>
        <w:t>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pPr>
        <w:pStyle w:val="Normal"/>
        <w:widowControl/>
        <w:numPr>
          <w:ilvl w:val="0"/>
          <w:numId w:val="7"/>
        </w:numPr>
        <w:tabs>
          <w:tab w:val="clear" w:pos="720"/>
          <w:tab w:val="left" w:pos="851" w:leader="none"/>
        </w:tabs>
        <w:suppressAutoHyphens w:val="false"/>
        <w:overflowPunct w:val="false"/>
        <w:bidi w:val="0"/>
        <w:spacing w:lineRule="auto" w:line="360" w:before="0" w:after="0"/>
        <w:ind w:hanging="340" w:left="340" w:right="0"/>
        <w:jc w:val="both"/>
        <w:rPr>
          <w:rFonts w:ascii="Aptos" w:hAnsi="Aptos"/>
        </w:rPr>
      </w:pPr>
      <w:r>
        <w:rPr>
          <w:rFonts w:ascii="Aptos" w:hAnsi="Aptos"/>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pPr>
        <w:pStyle w:val="Normal"/>
        <w:widowControl/>
        <w:numPr>
          <w:ilvl w:val="0"/>
          <w:numId w:val="7"/>
        </w:numPr>
        <w:tabs>
          <w:tab w:val="clear" w:pos="720"/>
          <w:tab w:val="left" w:pos="851" w:leader="none"/>
        </w:tabs>
        <w:suppressAutoHyphens w:val="false"/>
        <w:overflowPunct w:val="false"/>
        <w:bidi w:val="0"/>
        <w:spacing w:lineRule="auto" w:line="360" w:before="0" w:after="0"/>
        <w:ind w:hanging="340" w:left="340" w:right="0"/>
        <w:jc w:val="both"/>
        <w:rPr>
          <w:rFonts w:ascii="Aptos" w:hAnsi="Aptos"/>
        </w:rPr>
      </w:pPr>
      <w:r>
        <w:rPr>
          <w:rFonts w:ascii="Aptos" w:hAnsi="Aptos"/>
        </w:rPr>
        <w:t>Oferta może być złożona tylko do upływu terminu składania ofert.</w:t>
      </w:r>
    </w:p>
    <w:p>
      <w:pPr>
        <w:pStyle w:val="Normal"/>
        <w:widowControl/>
        <w:numPr>
          <w:ilvl w:val="0"/>
          <w:numId w:val="7"/>
        </w:numPr>
        <w:tabs>
          <w:tab w:val="clear" w:pos="720"/>
          <w:tab w:val="left" w:pos="851" w:leader="none"/>
        </w:tabs>
        <w:suppressAutoHyphens w:val="false"/>
        <w:overflowPunct w:val="false"/>
        <w:bidi w:val="0"/>
        <w:spacing w:lineRule="auto" w:line="360" w:before="0" w:after="0"/>
        <w:ind w:hanging="340" w:left="340" w:right="0"/>
        <w:jc w:val="both"/>
        <w:rPr>
          <w:rFonts w:ascii="Aptos" w:hAnsi="Aptos"/>
        </w:rPr>
      </w:pPr>
      <w:r>
        <w:rPr>
          <w:rFonts w:ascii="Aptos" w:hAnsi="Aptos"/>
        </w:rPr>
        <w:t>Wykonawca może przed upływem terminu składania ofert wycofać ofertę. Wykonawca wycofuje ofertę w zakładce „Oferty/wnioski” używając przycisku „Wycofaj ofertę”.</w:t>
      </w:r>
    </w:p>
    <w:p>
      <w:pPr>
        <w:pStyle w:val="Normal"/>
        <w:widowControl/>
        <w:numPr>
          <w:ilvl w:val="0"/>
          <w:numId w:val="7"/>
        </w:numPr>
        <w:tabs>
          <w:tab w:val="clear" w:pos="720"/>
          <w:tab w:val="left" w:pos="851" w:leader="none"/>
        </w:tabs>
        <w:suppressAutoHyphens w:val="false"/>
        <w:overflowPunct w:val="false"/>
        <w:bidi w:val="0"/>
        <w:spacing w:lineRule="auto" w:line="360" w:before="0" w:after="0"/>
        <w:ind w:hanging="340" w:left="340" w:right="0"/>
        <w:jc w:val="both"/>
        <w:rPr>
          <w:rFonts w:ascii="Aptos" w:hAnsi="Aptos"/>
        </w:rPr>
      </w:pPr>
      <w:r>
        <w:rPr>
          <w:rFonts w:ascii="Aptos" w:hAnsi="Aptos"/>
        </w:rPr>
        <w:t>Maksymalny łączny rozmiar plików stanowiących ofertę lub składanych wraz z ofertą to 250 MB.</w:t>
      </w:r>
    </w:p>
    <w:p>
      <w:pPr>
        <w:pStyle w:val="Normal"/>
        <w:widowControl/>
        <w:numPr>
          <w:ilvl w:val="0"/>
          <w:numId w:val="7"/>
        </w:numPr>
        <w:tabs>
          <w:tab w:val="clear" w:pos="720"/>
          <w:tab w:val="left" w:pos="851" w:leader="none"/>
        </w:tabs>
        <w:suppressAutoHyphens w:val="false"/>
        <w:overflowPunct w:val="false"/>
        <w:bidi w:val="0"/>
        <w:spacing w:lineRule="auto" w:line="360" w:before="0" w:after="0"/>
        <w:ind w:hanging="340" w:left="340" w:right="0"/>
        <w:jc w:val="both"/>
        <w:rPr>
          <w:rFonts w:ascii="Aptos" w:hAnsi="Aptos"/>
        </w:rPr>
      </w:pPr>
      <w:r>
        <w:rPr>
          <w:rFonts w:cs="Cambria" w:ascii="Aptos" w:hAnsi="Aptos"/>
        </w:rPr>
        <w:t>Do oferty należy dołączyć oświadczenie o niepodleganiu wykluczeniu, spełnianiu warunków udziału w postępowaniu lub kryteriów selekcji, w zakresie wskazanym w</w:t>
      </w:r>
      <w:r>
        <w:rPr>
          <w:rFonts w:cs="Cambria" w:ascii="Aptos" w:hAnsi="Aptos"/>
          <w:shd w:fill="auto" w:val="clear"/>
        </w:rPr>
        <w:t xml:space="preserve"> dziale XIV ust. 7 pkt 3 niniejszej SWZ, w </w:t>
      </w:r>
      <w:r>
        <w:rPr>
          <w:rFonts w:cs="Cambria" w:ascii="Aptos" w:hAnsi="Aptos"/>
        </w:rPr>
        <w:t>formie elektronicznej lub w postaci elektronicznej opatrzonej zaufanym lub podpisem osobistym, a następnie zaszyfrować wraz z plikami stanowiącymi ofertę.</w:t>
      </w:r>
    </w:p>
    <w:p>
      <w:pPr>
        <w:pStyle w:val="Normal"/>
        <w:widowControl/>
        <w:numPr>
          <w:ilvl w:val="0"/>
          <w:numId w:val="7"/>
        </w:numPr>
        <w:tabs>
          <w:tab w:val="clear" w:pos="720"/>
          <w:tab w:val="left" w:pos="851" w:leader="none"/>
        </w:tabs>
        <w:suppressAutoHyphens w:val="false"/>
        <w:overflowPunct w:val="false"/>
        <w:bidi w:val="0"/>
        <w:spacing w:lineRule="auto" w:line="360" w:before="0" w:after="0"/>
        <w:ind w:hanging="340" w:left="340" w:right="0"/>
        <w:jc w:val="both"/>
        <w:rPr>
          <w:rFonts w:ascii="Aptos" w:hAnsi="Aptos"/>
        </w:rPr>
      </w:pPr>
      <w:r>
        <w:rPr>
          <w:rFonts w:cs="Cambria" w:ascii="Aptos" w:hAnsi="Aptos"/>
          <w:b w:val="false"/>
          <w:bCs w:val="false"/>
          <w:sz w:val="24"/>
          <w:szCs w:val="24"/>
          <w:shd w:fill="auto" w:val="clear"/>
        </w:rPr>
        <w:t>Wykonawca po upływie terminu do składania ofert nie może skutecznie dokonać zmiany ani wycofać złożonej oferty.</w:t>
      </w:r>
    </w:p>
    <w:p>
      <w:pPr>
        <w:pStyle w:val="Normal"/>
        <w:widowControl/>
        <w:numPr>
          <w:ilvl w:val="0"/>
          <w:numId w:val="7"/>
        </w:numPr>
        <w:bidi w:val="0"/>
        <w:spacing w:lineRule="auto" w:line="360" w:before="0" w:after="0"/>
        <w:ind w:hanging="340" w:left="340" w:right="0"/>
        <w:jc w:val="both"/>
        <w:rPr>
          <w:rFonts w:ascii="Aptos" w:hAnsi="Aptos"/>
        </w:rPr>
      </w:pPr>
      <w:r>
        <w:rPr>
          <w:rFonts w:ascii="Aptos" w:hAnsi="Aptos"/>
          <w:b w:val="false"/>
          <w:bCs w:val="false"/>
          <w:sz w:val="24"/>
          <w:szCs w:val="24"/>
          <w:u w:val="single"/>
          <w:shd w:fill="auto" w:val="clear"/>
        </w:rPr>
        <w:t>Termin składania ofert upływa 11 października 2024 r. o godz. 12.45.</w:t>
      </w:r>
    </w:p>
    <w:p>
      <w:pPr>
        <w:pStyle w:val="Normal"/>
        <w:spacing w:lineRule="auto" w:line="360"/>
        <w:jc w:val="both"/>
        <w:rPr>
          <w:rFonts w:ascii="Aptos" w:hAnsi="Aptos"/>
          <w:b w:val="false"/>
          <w:bCs w:val="false"/>
          <w:sz w:val="24"/>
          <w:szCs w:val="24"/>
        </w:rPr>
      </w:pPr>
      <w:r>
        <w:rPr>
          <w:rFonts w:ascii="Aptos" w:hAnsi="Aptos"/>
          <w:b w:val="false"/>
          <w:bCs w:val="false"/>
          <w:sz w:val="24"/>
          <w:szCs w:val="24"/>
        </w:rPr>
      </w:r>
    </w:p>
    <w:p>
      <w:pPr>
        <w:pStyle w:val="Normal"/>
        <w:numPr>
          <w:ilvl w:val="0"/>
          <w:numId w:val="3"/>
        </w:numPr>
        <w:spacing w:lineRule="auto" w:line="360"/>
        <w:jc w:val="both"/>
        <w:rPr>
          <w:rFonts w:ascii="Aptos" w:hAnsi="Aptos"/>
        </w:rPr>
      </w:pPr>
      <w:r>
        <w:rPr>
          <w:rFonts w:ascii="Aptos" w:hAnsi="Aptos"/>
          <w:b/>
          <w:bCs/>
          <w:sz w:val="24"/>
          <w:szCs w:val="24"/>
          <w:shd w:fill="auto" w:val="clear"/>
        </w:rPr>
        <w:t>Termin otwarcia ofert.</w:t>
      </w:r>
    </w:p>
    <w:p>
      <w:pPr>
        <w:pStyle w:val="Normal"/>
        <w:spacing w:lineRule="auto" w:line="360"/>
        <w:jc w:val="both"/>
        <w:rPr>
          <w:rFonts w:ascii="Aptos" w:hAnsi="Aptos"/>
          <w:sz w:val="24"/>
          <w:szCs w:val="24"/>
        </w:rPr>
      </w:pPr>
      <w:r>
        <w:rPr>
          <w:rFonts w:ascii="Aptos" w:hAnsi="Aptos"/>
          <w:sz w:val="24"/>
          <w:szCs w:val="24"/>
        </w:rPr>
      </w:r>
    </w:p>
    <w:p>
      <w:pPr>
        <w:pStyle w:val="Normal"/>
        <w:widowControl/>
        <w:numPr>
          <w:ilvl w:val="0"/>
          <w:numId w:val="8"/>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Otwarcie ofert nastąpi w dniu 11 października 2024 r., o godz. 13:00.</w:t>
      </w:r>
    </w:p>
    <w:p>
      <w:pPr>
        <w:pStyle w:val="Normal"/>
        <w:widowControl/>
        <w:numPr>
          <w:ilvl w:val="0"/>
          <w:numId w:val="8"/>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Zamawiający nie przewiduje publicznego otwarcia ofert.</w:t>
      </w:r>
    </w:p>
    <w:p>
      <w:pPr>
        <w:pStyle w:val="Normal"/>
        <w:widowControl/>
        <w:numPr>
          <w:ilvl w:val="0"/>
          <w:numId w:val="8"/>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Zamawiający za pomocą Platformy e-Zamówienia dokonuje pobrania i otwarcia odszyfrowanych ofert.</w:t>
      </w:r>
    </w:p>
    <w:p>
      <w:pPr>
        <w:pStyle w:val="Normal"/>
        <w:widowControl/>
        <w:numPr>
          <w:ilvl w:val="0"/>
          <w:numId w:val="8"/>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Zamawiający najpóźniej przed otwarciem ofert, udostępnia na stronie internetowej prowadzonego postępowania informację o kwocie, jaką zamierza przeznaczyć na sfinansowanie zamówienia.</w:t>
      </w:r>
    </w:p>
    <w:p>
      <w:pPr>
        <w:pStyle w:val="Normal"/>
        <w:widowControl/>
        <w:numPr>
          <w:ilvl w:val="0"/>
          <w:numId w:val="8"/>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Zamawiający, niezwłocznie po otwarciu ofert, udostępnia na stronie internetowej prowadzonego postępowania informacje o:</w:t>
      </w:r>
    </w:p>
    <w:p>
      <w:pPr>
        <w:pStyle w:val="Normal"/>
        <w:widowControl/>
        <w:numPr>
          <w:ilvl w:val="1"/>
          <w:numId w:val="8"/>
        </w:numPr>
        <w:suppressAutoHyphens w:val="true"/>
        <w:bidi w:val="0"/>
        <w:spacing w:lineRule="auto" w:line="360" w:before="0" w:after="0"/>
        <w:ind w:hanging="340" w:left="624" w:right="0"/>
        <w:jc w:val="both"/>
        <w:rPr>
          <w:rFonts w:ascii="Aptos" w:hAnsi="Aptos"/>
        </w:rPr>
      </w:pPr>
      <w:r>
        <w:rPr>
          <w:rFonts w:ascii="Aptos" w:hAnsi="Aptos"/>
          <w:b w:val="false"/>
          <w:bCs w:val="false"/>
          <w:sz w:val="24"/>
          <w:szCs w:val="24"/>
          <w:shd w:fill="auto" w:val="clear"/>
        </w:rPr>
        <w:t>nazwach albo imionach i nazwiskach oraz siedzibach lub miejscach prowadzonej działalności gospodarczej albo miejscach zamieszkania Wykonawców, których oferty zostały otwarte;</w:t>
      </w:r>
    </w:p>
    <w:p>
      <w:pPr>
        <w:pStyle w:val="Normal"/>
        <w:widowControl/>
        <w:numPr>
          <w:ilvl w:val="1"/>
          <w:numId w:val="8"/>
        </w:numPr>
        <w:suppressAutoHyphens w:val="true"/>
        <w:bidi w:val="0"/>
        <w:spacing w:lineRule="auto" w:line="360" w:before="0" w:after="0"/>
        <w:ind w:hanging="340" w:left="624" w:right="0"/>
        <w:jc w:val="both"/>
        <w:rPr>
          <w:rFonts w:ascii="Aptos" w:hAnsi="Aptos"/>
        </w:rPr>
      </w:pPr>
      <w:r>
        <w:rPr>
          <w:rFonts w:ascii="Aptos" w:hAnsi="Aptos"/>
          <w:b w:val="false"/>
          <w:bCs w:val="false"/>
          <w:sz w:val="24"/>
          <w:szCs w:val="24"/>
          <w:shd w:fill="auto" w:val="clear"/>
        </w:rPr>
        <w:t>cenach lub kosztach zawartych w ofertach.</w:t>
      </w:r>
    </w:p>
    <w:p>
      <w:pPr>
        <w:pStyle w:val="Normal"/>
        <w:spacing w:lineRule="auto" w:line="360"/>
        <w:jc w:val="both"/>
        <w:rPr>
          <w:rFonts w:ascii="Aptos" w:hAnsi="Aptos"/>
          <w:sz w:val="24"/>
          <w:szCs w:val="24"/>
        </w:rPr>
      </w:pPr>
      <w:r>
        <w:rPr>
          <w:rFonts w:ascii="Aptos" w:hAnsi="Aptos"/>
          <w:sz w:val="24"/>
          <w:szCs w:val="24"/>
        </w:rPr>
      </w:r>
    </w:p>
    <w:p>
      <w:pPr>
        <w:pStyle w:val="Normal"/>
        <w:numPr>
          <w:ilvl w:val="0"/>
          <w:numId w:val="3"/>
        </w:numPr>
        <w:spacing w:lineRule="auto" w:line="360"/>
        <w:jc w:val="both"/>
        <w:rPr>
          <w:rFonts w:ascii="Aptos" w:hAnsi="Aptos"/>
        </w:rPr>
      </w:pPr>
      <w:r>
        <w:rPr>
          <w:rFonts w:ascii="Aptos" w:hAnsi="Aptos"/>
          <w:b/>
          <w:bCs/>
          <w:sz w:val="24"/>
          <w:szCs w:val="24"/>
          <w:shd w:fill="auto" w:val="clear"/>
        </w:rPr>
        <w:t>Sposób obliczenia ceny.</w:t>
      </w:r>
    </w:p>
    <w:p>
      <w:pPr>
        <w:pStyle w:val="Normal"/>
        <w:spacing w:lineRule="auto" w:line="360"/>
        <w:jc w:val="both"/>
        <w:rPr>
          <w:rFonts w:ascii="Aptos" w:hAnsi="Aptos"/>
          <w:b/>
          <w:bCs/>
          <w:sz w:val="24"/>
          <w:szCs w:val="24"/>
          <w:highlight w:val="none"/>
          <w:shd w:fill="auto" w:val="clear"/>
        </w:rPr>
      </w:pPr>
      <w:r>
        <w:rPr>
          <w:rFonts w:ascii="Aptos" w:hAnsi="Aptos"/>
          <w:b/>
          <w:bCs/>
          <w:sz w:val="24"/>
          <w:szCs w:val="24"/>
          <w:shd w:fill="auto" w:val="clear"/>
        </w:rPr>
      </w:r>
    </w:p>
    <w:p>
      <w:pPr>
        <w:pStyle w:val="Normal"/>
        <w:numPr>
          <w:ilvl w:val="0"/>
          <w:numId w:val="10"/>
        </w:numPr>
        <w:tabs>
          <w:tab w:val="clear" w:pos="720"/>
          <w:tab w:val="left" w:pos="576" w:leader="none"/>
          <w:tab w:val="left" w:pos="851" w:leader="none"/>
        </w:tabs>
        <w:spacing w:lineRule="auto" w:line="360"/>
        <w:jc w:val="both"/>
        <w:rPr>
          <w:rFonts w:ascii="Aptos" w:hAnsi="Aptos"/>
        </w:rPr>
      </w:pPr>
      <w:r>
        <w:rPr>
          <w:rFonts w:eastAsia="NSimSun" w:cs="Tahoma" w:ascii="Aptos" w:hAnsi="Aptos"/>
          <w:color w:val="auto"/>
          <w:sz w:val="24"/>
          <w:szCs w:val="24"/>
          <w:lang w:val="pl-PL" w:eastAsia="zh-CN" w:bidi="hi-IN"/>
        </w:rPr>
        <w:t>Cena oferty zostanie wyliczona przez Wykonawcę w formie kosztorysu ofertowego w oparciu o przedmiary robót.</w:t>
      </w:r>
    </w:p>
    <w:p>
      <w:pPr>
        <w:pStyle w:val="Normal"/>
        <w:numPr>
          <w:ilvl w:val="0"/>
          <w:numId w:val="10"/>
        </w:numPr>
        <w:tabs>
          <w:tab w:val="clear" w:pos="720"/>
          <w:tab w:val="left" w:pos="576" w:leader="none"/>
          <w:tab w:val="left" w:pos="851" w:leader="none"/>
        </w:tabs>
        <w:spacing w:lineRule="auto" w:line="360"/>
        <w:jc w:val="both"/>
        <w:rPr>
          <w:rFonts w:ascii="Aptos" w:hAnsi="Aptos"/>
        </w:rPr>
      </w:pPr>
      <w:r>
        <w:rPr>
          <w:rFonts w:eastAsia="NSimSun" w:cs="Tahoma" w:ascii="Aptos" w:hAnsi="Aptos"/>
          <w:color w:val="auto"/>
          <w:sz w:val="24"/>
          <w:szCs w:val="24"/>
          <w:lang w:val="pl-PL" w:eastAsia="zh-CN" w:bidi="hi-IN"/>
        </w:rPr>
        <w:t>Podstawą kalkulacji są:</w:t>
      </w:r>
    </w:p>
    <w:p>
      <w:pPr>
        <w:pStyle w:val="Normal"/>
        <w:numPr>
          <w:ilvl w:val="0"/>
          <w:numId w:val="15"/>
        </w:numPr>
        <w:spacing w:lineRule="auto" w:line="360"/>
        <w:jc w:val="both"/>
        <w:rPr>
          <w:rFonts w:eastAsia="NSimSun" w:cs="Tahoma"/>
          <w:strike w:val="false"/>
          <w:dstrike w:val="false"/>
          <w:color w:val="auto"/>
          <w:sz w:val="24"/>
          <w:szCs w:val="24"/>
          <w:lang w:val="pl-PL" w:eastAsia="zh-CN" w:bidi="hi-IN"/>
        </w:rPr>
      </w:pPr>
      <w:r>
        <w:rPr>
          <w:rFonts w:eastAsia="NSimSun" w:cs="Tahoma"/>
          <w:strike w:val="false"/>
          <w:dstrike w:val="false"/>
          <w:color w:val="auto"/>
          <w:sz w:val="24"/>
          <w:szCs w:val="24"/>
          <w:lang w:val="pl-PL" w:eastAsia="zh-CN" w:bidi="hi-IN"/>
        </w:rPr>
      </w:r>
    </w:p>
    <w:p>
      <w:pPr>
        <w:pStyle w:val="Normal"/>
        <w:numPr>
          <w:ilvl w:val="1"/>
          <w:numId w:val="15"/>
        </w:numPr>
        <w:spacing w:lineRule="auto" w:line="360"/>
        <w:jc w:val="both"/>
        <w:rPr>
          <w:rFonts w:ascii="Aptos" w:hAnsi="Aptos"/>
        </w:rPr>
      </w:pPr>
      <w:r>
        <w:rPr>
          <w:rFonts w:eastAsia="NSimSun" w:cs="Tahoma" w:ascii="Aptos" w:hAnsi="Aptos"/>
          <w:strike w:val="false"/>
          <w:dstrike w:val="false"/>
          <w:color w:val="auto"/>
          <w:sz w:val="24"/>
          <w:szCs w:val="24"/>
          <w:lang w:val="pl-PL" w:eastAsia="zh-CN" w:bidi="hi-IN"/>
        </w:rPr>
        <w:t xml:space="preserve">specyfikacje techniczne wykonania i odbioru robót budowlanych – stanowiące </w:t>
      </w:r>
      <w:r>
        <w:rPr>
          <w:rFonts w:eastAsia="NSimSun" w:cs="Tahoma" w:ascii="Aptos" w:hAnsi="Aptos"/>
          <w:b/>
          <w:bCs/>
          <w:strike w:val="false"/>
          <w:dstrike w:val="false"/>
          <w:color w:val="auto"/>
          <w:sz w:val="24"/>
          <w:szCs w:val="24"/>
          <w:lang w:val="pl-PL" w:eastAsia="zh-CN" w:bidi="hi-IN"/>
        </w:rPr>
        <w:t>załącznik nr 9</w:t>
      </w:r>
      <w:r>
        <w:rPr>
          <w:rFonts w:eastAsia="NSimSun" w:cs="Tahoma" w:ascii="Aptos" w:hAnsi="Aptos"/>
          <w:strike w:val="false"/>
          <w:dstrike w:val="false"/>
          <w:color w:val="auto"/>
          <w:sz w:val="24"/>
          <w:szCs w:val="24"/>
          <w:lang w:val="pl-PL" w:eastAsia="zh-CN" w:bidi="hi-IN"/>
        </w:rPr>
        <w:t xml:space="preserve"> do niniejszej SWZ;</w:t>
      </w:r>
    </w:p>
    <w:p>
      <w:pPr>
        <w:pStyle w:val="Normal"/>
        <w:numPr>
          <w:ilvl w:val="1"/>
          <w:numId w:val="15"/>
        </w:numPr>
        <w:spacing w:lineRule="auto" w:line="360"/>
        <w:jc w:val="both"/>
        <w:rPr>
          <w:rFonts w:ascii="Aptos" w:hAnsi="Aptos"/>
        </w:rPr>
      </w:pPr>
      <w:r>
        <w:rPr>
          <w:rFonts w:eastAsia="NSimSun" w:cs="Tahoma" w:ascii="Aptos" w:hAnsi="Aptos"/>
          <w:strike w:val="false"/>
          <w:dstrike w:val="false"/>
          <w:color w:val="auto"/>
          <w:sz w:val="24"/>
          <w:szCs w:val="24"/>
          <w:lang w:val="pl-PL" w:eastAsia="zh-CN" w:bidi="hi-IN"/>
        </w:rPr>
        <w:t xml:space="preserve">przedmiar robót – stanowiący </w:t>
      </w:r>
      <w:r>
        <w:rPr>
          <w:rFonts w:eastAsia="NSimSun" w:cs="Tahoma" w:ascii="Aptos" w:hAnsi="Aptos"/>
          <w:b/>
          <w:bCs/>
          <w:strike w:val="false"/>
          <w:dstrike w:val="false"/>
          <w:color w:val="auto"/>
          <w:sz w:val="24"/>
          <w:szCs w:val="24"/>
          <w:lang w:val="pl-PL" w:eastAsia="zh-CN" w:bidi="hi-IN"/>
        </w:rPr>
        <w:t>załącznik nr 2</w:t>
      </w:r>
      <w:r>
        <w:rPr>
          <w:rFonts w:eastAsia="NSimSun" w:cs="Tahoma" w:ascii="Aptos" w:hAnsi="Aptos"/>
          <w:strike w:val="false"/>
          <w:dstrike w:val="false"/>
          <w:color w:val="auto"/>
          <w:sz w:val="24"/>
          <w:szCs w:val="24"/>
          <w:lang w:val="pl-PL" w:eastAsia="zh-CN" w:bidi="hi-IN"/>
        </w:rPr>
        <w:t xml:space="preserve"> do niniejszej SWZ;</w:t>
      </w:r>
    </w:p>
    <w:p>
      <w:pPr>
        <w:pStyle w:val="Normal"/>
        <w:numPr>
          <w:ilvl w:val="1"/>
          <w:numId w:val="15"/>
        </w:numPr>
        <w:bidi w:val="0"/>
        <w:spacing w:lineRule="auto" w:line="360"/>
        <w:jc w:val="both"/>
        <w:rPr>
          <w:rFonts w:ascii="Aptos" w:hAnsi="Aptos"/>
        </w:rPr>
      </w:pPr>
      <w:r>
        <w:rPr>
          <w:rFonts w:eastAsia="NSimSun" w:cs="Tahoma" w:ascii="Aptos" w:hAnsi="Aptos"/>
          <w:strike w:val="false"/>
          <w:dstrike w:val="false"/>
          <w:color w:val="auto"/>
          <w:sz w:val="24"/>
          <w:szCs w:val="24"/>
          <w:lang w:val="pl-PL" w:eastAsia="zh-CN" w:bidi="hi-IN"/>
        </w:rPr>
        <w:t xml:space="preserve">wzór istotnych postanowień umowy w sprawie zamówienia publicznego stanowiącym </w:t>
      </w:r>
      <w:r>
        <w:rPr>
          <w:rFonts w:eastAsia="NSimSun" w:cs="Tahoma" w:ascii="Aptos" w:hAnsi="Aptos"/>
          <w:b/>
          <w:bCs/>
          <w:strike w:val="false"/>
          <w:dstrike w:val="false"/>
          <w:color w:val="auto"/>
          <w:sz w:val="24"/>
          <w:szCs w:val="24"/>
          <w:lang w:val="pl-PL" w:eastAsia="zh-CN" w:bidi="hi-IN"/>
        </w:rPr>
        <w:t>załącznik nr 1</w:t>
      </w:r>
      <w:r>
        <w:rPr>
          <w:rFonts w:eastAsia="NSimSun" w:cs="Tahoma" w:ascii="Aptos" w:hAnsi="Aptos"/>
          <w:strike w:val="false"/>
          <w:dstrike w:val="false"/>
          <w:color w:val="auto"/>
          <w:sz w:val="24"/>
          <w:szCs w:val="24"/>
          <w:lang w:val="pl-PL" w:eastAsia="zh-CN" w:bidi="hi-IN"/>
        </w:rPr>
        <w:t xml:space="preserve"> do niniejszej SWZ</w:t>
      </w:r>
    </w:p>
    <w:p>
      <w:pPr>
        <w:pStyle w:val="Normal"/>
        <w:numPr>
          <w:ilvl w:val="0"/>
          <w:numId w:val="10"/>
        </w:numPr>
        <w:tabs>
          <w:tab w:val="clear" w:pos="720"/>
          <w:tab w:val="left" w:pos="576" w:leader="none"/>
          <w:tab w:val="left" w:pos="851" w:leader="none"/>
        </w:tabs>
        <w:spacing w:lineRule="auto" w:line="360"/>
        <w:jc w:val="both"/>
        <w:rPr>
          <w:rFonts w:ascii="Aptos" w:hAnsi="Aptos"/>
        </w:rPr>
      </w:pPr>
      <w:r>
        <w:rPr>
          <w:rFonts w:eastAsia="NSimSun" w:cs="Tahoma" w:ascii="Aptos" w:hAnsi="Aptos"/>
          <w:color w:val="auto"/>
          <w:sz w:val="24"/>
          <w:szCs w:val="24"/>
          <w:lang w:val="pl-PL" w:eastAsia="zh-CN" w:bidi="hi-IN"/>
        </w:rPr>
        <w:t xml:space="preserve">Kosztorys ofertowy należy sporządzić metodą kalkulacji uproszczonej ściśle według kolejności pozycji wyszczególnionych w Przedmiarze Robót stanowiący </w:t>
      </w:r>
      <w:r>
        <w:rPr>
          <w:rFonts w:eastAsia="NSimSun" w:cs="Tahoma" w:ascii="Aptos" w:hAnsi="Aptos"/>
          <w:b/>
          <w:bCs/>
          <w:color w:val="auto"/>
          <w:sz w:val="24"/>
          <w:szCs w:val="24"/>
          <w:lang w:val="pl-PL" w:eastAsia="zh-CN" w:bidi="hi-IN"/>
        </w:rPr>
        <w:t>załącznik nr 2</w:t>
      </w:r>
      <w:r>
        <w:rPr>
          <w:rFonts w:eastAsia="NSimSun" w:cs="Tahoma" w:ascii="Aptos" w:hAnsi="Aptos"/>
          <w:color w:val="auto"/>
          <w:sz w:val="24"/>
          <w:szCs w:val="24"/>
          <w:lang w:val="pl-PL" w:eastAsia="zh-CN" w:bidi="hi-IN"/>
        </w:rPr>
        <w:t xml:space="preserve"> do niniejszej SWZ. Wykonawca określi ceny jednostkowe netto oraz wartości netto dla wszystkich pozycji wymienionych w przedmiarze robót. </w:t>
      </w:r>
    </w:p>
    <w:p>
      <w:pPr>
        <w:pStyle w:val="Normal"/>
        <w:tabs>
          <w:tab w:val="clear" w:pos="720"/>
          <w:tab w:val="left" w:pos="936" w:leader="none"/>
          <w:tab w:val="left" w:pos="1211" w:leader="none"/>
        </w:tabs>
        <w:spacing w:lineRule="auto" w:line="360"/>
        <w:ind w:hanging="0" w:left="360"/>
        <w:jc w:val="both"/>
        <w:rPr>
          <w:rFonts w:ascii="Aptos" w:hAnsi="Aptos"/>
        </w:rPr>
      </w:pPr>
      <w:r>
        <w:rPr>
          <w:rFonts w:eastAsia="NSimSun" w:cs="Tahoma" w:ascii="Aptos" w:hAnsi="Aptos"/>
          <w:color w:val="auto"/>
          <w:sz w:val="24"/>
          <w:szCs w:val="24"/>
          <w:lang w:val="pl-PL" w:eastAsia="zh-CN" w:bidi="hi-IN"/>
        </w:rPr>
        <w:t>Wykonawca oblicza cenę ofertową netto dodając wartości poszczególnych elementów zamówienia. Do tak wyliczonej ceny ofertowej netto Wykonawca dodaje wartość podatku VAT. Tak wyliczoną cenę z podatkiem VAT zamieszcza w formularzu ofertowym (interaktywny formularz udostępniony na platformie e-Zamówienia) jako cenę ofertową brutto. Do formularza ofertowego należy załączyć kosztorys ofertowy.</w:t>
      </w:r>
    </w:p>
    <w:p>
      <w:pPr>
        <w:pStyle w:val="Normal"/>
        <w:numPr>
          <w:ilvl w:val="0"/>
          <w:numId w:val="10"/>
        </w:numPr>
        <w:tabs>
          <w:tab w:val="clear" w:pos="720"/>
          <w:tab w:val="left" w:pos="576" w:leader="none"/>
          <w:tab w:val="left" w:pos="851" w:leader="none"/>
        </w:tabs>
        <w:spacing w:lineRule="auto" w:line="360"/>
        <w:jc w:val="both"/>
        <w:rPr>
          <w:rFonts w:ascii="Aptos" w:hAnsi="Aptos"/>
        </w:rPr>
      </w:pPr>
      <w:r>
        <w:rPr>
          <w:rFonts w:eastAsia="NSimSun" w:cs="Tahoma" w:ascii="Aptos" w:hAnsi="Aptos"/>
          <w:color w:val="auto"/>
          <w:sz w:val="24"/>
          <w:szCs w:val="24"/>
          <w:lang w:val="pl-PL" w:eastAsia="zh-CN" w:bidi="hi-IN"/>
        </w:rPr>
        <w:t>Cena oferty powinna obejmować całkowity koszt wykonania przedmiotu zamówienia w tym również wszelkie koszty towarzyszące prawidłowemu wykonaniu przedmiotu zamówienia o których mowa w SWZ, które powinny być ujęte w pozycjach przedmiarowych w tym w szczególności:</w:t>
      </w:r>
    </w:p>
    <w:p>
      <w:pPr>
        <w:pStyle w:val="Normal"/>
        <w:widowControl/>
        <w:numPr>
          <w:ilvl w:val="0"/>
          <w:numId w:val="11"/>
        </w:numPr>
        <w:tabs>
          <w:tab w:val="clear" w:pos="720"/>
          <w:tab w:val="left" w:pos="851" w:leader="none"/>
        </w:tabs>
        <w:suppressAutoHyphens w:val="true"/>
        <w:bidi w:val="0"/>
        <w:spacing w:lineRule="auto" w:line="360" w:before="0" w:after="0"/>
        <w:ind w:hanging="340" w:left="737" w:right="0"/>
        <w:jc w:val="both"/>
        <w:rPr>
          <w:rFonts w:ascii="Aptos" w:hAnsi="Aptos"/>
        </w:rPr>
      </w:pPr>
      <w:r>
        <w:rPr>
          <w:rFonts w:eastAsia="NSimSun" w:cs="Tahoma" w:ascii="Aptos" w:hAnsi="Aptos"/>
          <w:color w:val="auto"/>
          <w:sz w:val="24"/>
          <w:szCs w:val="24"/>
          <w:lang w:val="pl-PL" w:eastAsia="zh-CN" w:bidi="hi-IN"/>
        </w:rPr>
        <w:t>koszty ogólne, koszty zakupu, koszty pośrednie, zysk;</w:t>
      </w:r>
    </w:p>
    <w:p>
      <w:pPr>
        <w:pStyle w:val="Normal"/>
        <w:widowControl/>
        <w:numPr>
          <w:ilvl w:val="0"/>
          <w:numId w:val="11"/>
        </w:numPr>
        <w:tabs>
          <w:tab w:val="clear" w:pos="720"/>
          <w:tab w:val="left" w:pos="851" w:leader="none"/>
        </w:tabs>
        <w:suppressAutoHyphens w:val="true"/>
        <w:bidi w:val="0"/>
        <w:spacing w:lineRule="auto" w:line="360" w:before="0" w:after="0"/>
        <w:ind w:hanging="340" w:left="737" w:right="0"/>
        <w:jc w:val="both"/>
        <w:rPr>
          <w:rFonts w:ascii="Aptos" w:hAnsi="Aptos"/>
        </w:rPr>
      </w:pPr>
      <w:r>
        <w:rPr>
          <w:rFonts w:eastAsia="NSimSun" w:cs="Tahoma" w:ascii="Aptos" w:hAnsi="Aptos"/>
          <w:color w:val="auto"/>
          <w:sz w:val="24"/>
          <w:szCs w:val="24"/>
          <w:lang w:val="pl-PL" w:eastAsia="zh-CN" w:bidi="hi-IN"/>
        </w:rPr>
        <w:t>koszty dojazdu, podatków, opłaty celne i inne czynniki;</w:t>
      </w:r>
    </w:p>
    <w:p>
      <w:pPr>
        <w:pStyle w:val="Normal"/>
        <w:widowControl/>
        <w:numPr>
          <w:ilvl w:val="0"/>
          <w:numId w:val="11"/>
        </w:numPr>
        <w:tabs>
          <w:tab w:val="clear" w:pos="720"/>
          <w:tab w:val="left" w:pos="851" w:leader="none"/>
        </w:tabs>
        <w:suppressAutoHyphens w:val="true"/>
        <w:bidi w:val="0"/>
        <w:spacing w:lineRule="auto" w:line="360" w:before="0" w:after="0"/>
        <w:ind w:hanging="340" w:left="737" w:right="0"/>
        <w:jc w:val="both"/>
        <w:rPr>
          <w:rFonts w:ascii="Aptos" w:hAnsi="Aptos"/>
        </w:rPr>
      </w:pPr>
      <w:r>
        <w:rPr>
          <w:rFonts w:eastAsia="NSimSun" w:cs="Tahoma" w:ascii="Aptos" w:hAnsi="Aptos"/>
          <w:color w:val="auto"/>
          <w:sz w:val="24"/>
          <w:szCs w:val="24"/>
          <w:lang w:val="pl-PL" w:eastAsia="zh-CN" w:bidi="hi-IN"/>
        </w:rPr>
        <w:t>koszty ubezpieczenia;</w:t>
      </w:r>
    </w:p>
    <w:p>
      <w:pPr>
        <w:pStyle w:val="Normal"/>
        <w:widowControl/>
        <w:numPr>
          <w:ilvl w:val="0"/>
          <w:numId w:val="11"/>
        </w:numPr>
        <w:tabs>
          <w:tab w:val="clear" w:pos="720"/>
          <w:tab w:val="left" w:pos="851" w:leader="none"/>
        </w:tabs>
        <w:suppressAutoHyphens w:val="true"/>
        <w:bidi w:val="0"/>
        <w:spacing w:lineRule="auto" w:line="360" w:before="0" w:after="0"/>
        <w:ind w:hanging="340" w:left="737" w:right="0"/>
        <w:jc w:val="both"/>
        <w:rPr>
          <w:rFonts w:ascii="Aptos" w:hAnsi="Aptos"/>
        </w:rPr>
      </w:pPr>
      <w:r>
        <w:rPr>
          <w:rFonts w:eastAsia="NSimSun" w:cs="Tahoma" w:ascii="Aptos" w:hAnsi="Aptos"/>
          <w:color w:val="auto"/>
          <w:sz w:val="24"/>
          <w:szCs w:val="24"/>
          <w:lang w:val="pl-PL" w:eastAsia="zh-CN" w:bidi="hi-IN"/>
        </w:rPr>
        <w:t>koszty wykonania dokumentów odbiorowych i inwentaryzacji powykonawczej;</w:t>
      </w:r>
    </w:p>
    <w:p>
      <w:pPr>
        <w:pStyle w:val="Normal"/>
        <w:widowControl/>
        <w:numPr>
          <w:ilvl w:val="0"/>
          <w:numId w:val="11"/>
        </w:numPr>
        <w:tabs>
          <w:tab w:val="clear" w:pos="720"/>
          <w:tab w:val="left" w:pos="851" w:leader="none"/>
        </w:tabs>
        <w:suppressAutoHyphens w:val="true"/>
        <w:bidi w:val="0"/>
        <w:spacing w:lineRule="auto" w:line="360" w:before="0" w:after="0"/>
        <w:ind w:hanging="340" w:left="737" w:right="0"/>
        <w:jc w:val="both"/>
        <w:rPr>
          <w:rFonts w:ascii="Aptos" w:hAnsi="Aptos"/>
        </w:rPr>
      </w:pPr>
      <w:r>
        <w:rPr>
          <w:rFonts w:eastAsia="NSimSun" w:cs="Tahoma" w:ascii="Aptos" w:hAnsi="Aptos"/>
          <w:color w:val="auto"/>
          <w:sz w:val="24"/>
          <w:szCs w:val="24"/>
          <w:lang w:val="pl-PL" w:eastAsia="zh-CN" w:bidi="hi-IN"/>
        </w:rPr>
        <w:t>koszty wykonania wszelkich dokumentów niezbędnych do złożenia do stosowanego Inspektoratu Nadzoru budowlanego w celu uzyskania pozwolenia na użytkowanie;</w:t>
      </w:r>
    </w:p>
    <w:p>
      <w:pPr>
        <w:pStyle w:val="Normal"/>
        <w:widowControl/>
        <w:numPr>
          <w:ilvl w:val="0"/>
          <w:numId w:val="11"/>
        </w:numPr>
        <w:tabs>
          <w:tab w:val="clear" w:pos="720"/>
          <w:tab w:val="left" w:pos="851" w:leader="none"/>
        </w:tabs>
        <w:suppressAutoHyphens w:val="true"/>
        <w:bidi w:val="0"/>
        <w:spacing w:lineRule="auto" w:line="360" w:before="0" w:after="0"/>
        <w:ind w:hanging="340" w:left="737" w:right="0"/>
        <w:jc w:val="both"/>
        <w:rPr>
          <w:rFonts w:ascii="Aptos" w:hAnsi="Aptos"/>
        </w:rPr>
      </w:pPr>
      <w:r>
        <w:rPr>
          <w:rFonts w:eastAsia="NSimSun" w:cs="Tahoma" w:ascii="Aptos" w:hAnsi="Aptos"/>
          <w:color w:val="auto"/>
          <w:sz w:val="24"/>
          <w:szCs w:val="24"/>
          <w:lang w:val="pl-PL" w:eastAsia="zh-CN" w:bidi="hi-IN"/>
        </w:rPr>
        <w:t>koszty wynikające z zapewnienia sprzętu, materiałów biurowych i innych środków;</w:t>
      </w:r>
    </w:p>
    <w:p>
      <w:pPr>
        <w:pStyle w:val="Normal"/>
        <w:widowControl/>
        <w:numPr>
          <w:ilvl w:val="0"/>
          <w:numId w:val="11"/>
        </w:numPr>
        <w:tabs>
          <w:tab w:val="clear" w:pos="720"/>
          <w:tab w:val="left" w:pos="851" w:leader="none"/>
        </w:tabs>
        <w:suppressAutoHyphens w:val="true"/>
        <w:bidi w:val="0"/>
        <w:spacing w:lineRule="auto" w:line="360" w:before="0" w:after="0"/>
        <w:ind w:hanging="340" w:left="737" w:right="0"/>
        <w:jc w:val="both"/>
        <w:rPr>
          <w:rFonts w:ascii="Aptos" w:hAnsi="Aptos"/>
        </w:rPr>
      </w:pPr>
      <w:r>
        <w:rPr>
          <w:rFonts w:eastAsia="NSimSun" w:cs="Tahoma" w:ascii="Aptos" w:hAnsi="Aptos"/>
          <w:color w:val="auto"/>
          <w:sz w:val="24"/>
          <w:szCs w:val="24"/>
          <w:lang w:val="pl-PL" w:eastAsia="zh-CN" w:bidi="hi-IN"/>
        </w:rPr>
        <w:t>koszty usuwania wad i usterek, które wystąpią w okresie realizacji umowy, a także w okresie rękojmi i gwarancji;</w:t>
      </w:r>
    </w:p>
    <w:p>
      <w:pPr>
        <w:pStyle w:val="Normal"/>
        <w:widowControl/>
        <w:numPr>
          <w:ilvl w:val="0"/>
          <w:numId w:val="11"/>
        </w:numPr>
        <w:tabs>
          <w:tab w:val="clear" w:pos="720"/>
          <w:tab w:val="left" w:pos="851" w:leader="none"/>
        </w:tabs>
        <w:suppressAutoHyphens w:val="true"/>
        <w:bidi w:val="0"/>
        <w:spacing w:lineRule="auto" w:line="360" w:before="0" w:after="0"/>
        <w:ind w:hanging="340" w:left="737" w:right="0"/>
        <w:jc w:val="both"/>
        <w:rPr>
          <w:rFonts w:ascii="Aptos" w:hAnsi="Aptos"/>
        </w:rPr>
      </w:pPr>
      <w:r>
        <w:rPr>
          <w:rFonts w:eastAsia="NSimSun" w:cs="Tahoma" w:ascii="Aptos" w:hAnsi="Aptos"/>
          <w:color w:val="auto"/>
          <w:sz w:val="24"/>
          <w:szCs w:val="24"/>
          <w:lang w:val="pl-PL" w:eastAsia="zh-CN" w:bidi="hi-IN"/>
        </w:rPr>
        <w:t>koszty organizacji ruchu na czas budowy wraz z projektem;</w:t>
      </w:r>
    </w:p>
    <w:p>
      <w:pPr>
        <w:pStyle w:val="Normal"/>
        <w:widowControl/>
        <w:numPr>
          <w:ilvl w:val="0"/>
          <w:numId w:val="11"/>
        </w:numPr>
        <w:tabs>
          <w:tab w:val="clear" w:pos="720"/>
          <w:tab w:val="left" w:pos="851" w:leader="none"/>
        </w:tabs>
        <w:suppressAutoHyphens w:val="true"/>
        <w:bidi w:val="0"/>
        <w:spacing w:lineRule="auto" w:line="360" w:before="0" w:after="0"/>
        <w:ind w:hanging="340" w:left="737" w:right="0"/>
        <w:jc w:val="both"/>
        <w:rPr>
          <w:rFonts w:ascii="Aptos" w:hAnsi="Aptos"/>
        </w:rPr>
      </w:pPr>
      <w:r>
        <w:rPr>
          <w:rFonts w:eastAsia="NSimSun" w:cs="Tahoma" w:ascii="Aptos" w:hAnsi="Aptos"/>
          <w:color w:val="auto"/>
          <w:sz w:val="24"/>
          <w:szCs w:val="24"/>
          <w:lang w:val="pl-PL" w:eastAsia="zh-CN" w:bidi="hi-IN"/>
        </w:rPr>
        <w:t xml:space="preserve">koszty obsługi geodezyjnej, w tym dokumentacji geodezyjnej powykonawczej oraz aktualizacji map sytuacyjno-wysokościowych w zakresie zmian numeracji działek, podziałów działek, przebiegu granic ewidencyjnych działek etc bezpośrednio przed sporządzeniem inwentaryzacji powykonawczej, </w:t>
      </w:r>
    </w:p>
    <w:p>
      <w:pPr>
        <w:pStyle w:val="Normal"/>
        <w:widowControl/>
        <w:numPr>
          <w:ilvl w:val="0"/>
          <w:numId w:val="11"/>
        </w:numPr>
        <w:tabs>
          <w:tab w:val="clear" w:pos="720"/>
          <w:tab w:val="left" w:pos="851" w:leader="none"/>
        </w:tabs>
        <w:suppressAutoHyphens w:val="true"/>
        <w:bidi w:val="0"/>
        <w:spacing w:lineRule="auto" w:line="360" w:before="0" w:after="0"/>
        <w:ind w:hanging="340" w:left="737" w:right="0"/>
        <w:jc w:val="both"/>
        <w:rPr>
          <w:rFonts w:ascii="Aptos" w:hAnsi="Aptos"/>
        </w:rPr>
      </w:pPr>
      <w:r>
        <w:rPr>
          <w:rFonts w:eastAsia="NSimSun" w:cs="Tahoma" w:ascii="Aptos" w:hAnsi="Aptos"/>
          <w:color w:val="auto"/>
          <w:sz w:val="24"/>
          <w:szCs w:val="24"/>
          <w:lang w:val="pl-PL" w:eastAsia="zh-CN" w:bidi="hi-IN"/>
        </w:rPr>
        <w:t>koszty inspekcji telewizyjnej sieci kanalizacyjnych,</w:t>
      </w:r>
    </w:p>
    <w:p>
      <w:pPr>
        <w:pStyle w:val="Normal"/>
        <w:widowControl/>
        <w:numPr>
          <w:ilvl w:val="0"/>
          <w:numId w:val="11"/>
        </w:numPr>
        <w:tabs>
          <w:tab w:val="clear" w:pos="720"/>
          <w:tab w:val="left" w:pos="851" w:leader="none"/>
        </w:tabs>
        <w:suppressAutoHyphens w:val="true"/>
        <w:bidi w:val="0"/>
        <w:spacing w:lineRule="auto" w:line="360" w:before="0" w:after="0"/>
        <w:ind w:hanging="340" w:left="737" w:right="0"/>
        <w:jc w:val="both"/>
        <w:rPr>
          <w:rFonts w:ascii="Aptos" w:hAnsi="Aptos"/>
        </w:rPr>
      </w:pPr>
      <w:r>
        <w:rPr>
          <w:rFonts w:eastAsia="NSimSun" w:cs="Tahoma" w:ascii="Aptos" w:hAnsi="Aptos"/>
          <w:color w:val="auto"/>
          <w:sz w:val="24"/>
          <w:szCs w:val="24"/>
          <w:lang w:val="pl-PL" w:eastAsia="zh-CN" w:bidi="hi-IN"/>
        </w:rPr>
        <w:t>koszty badania zagęszczenia gruntu, opracowania i uzgodnienia dokumentacji powykonawczej;</w:t>
      </w:r>
    </w:p>
    <w:p>
      <w:pPr>
        <w:pStyle w:val="Normal"/>
        <w:widowControl/>
        <w:numPr>
          <w:ilvl w:val="0"/>
          <w:numId w:val="11"/>
        </w:numPr>
        <w:tabs>
          <w:tab w:val="clear" w:pos="720"/>
          <w:tab w:val="left" w:pos="851" w:leader="none"/>
        </w:tabs>
        <w:suppressAutoHyphens w:val="true"/>
        <w:bidi w:val="0"/>
        <w:spacing w:lineRule="auto" w:line="360" w:before="0" w:after="0"/>
        <w:ind w:hanging="340" w:left="737" w:right="0"/>
        <w:jc w:val="both"/>
        <w:rPr>
          <w:rFonts w:ascii="Aptos" w:hAnsi="Aptos"/>
        </w:rPr>
      </w:pPr>
      <w:r>
        <w:rPr>
          <w:rFonts w:eastAsia="NSimSun" w:cs="Tahoma" w:ascii="Aptos" w:hAnsi="Aptos"/>
          <w:color w:val="auto"/>
          <w:sz w:val="24"/>
          <w:szCs w:val="24"/>
          <w:lang w:val="pl-PL" w:eastAsia="zh-CN" w:bidi="hi-IN"/>
        </w:rPr>
        <w:t xml:space="preserve">pozostałe koszty związane z przeprowadzeniem prób i badań technicznych zgodnie z postanowieniami </w:t>
      </w:r>
      <w:r>
        <w:rPr>
          <w:rFonts w:eastAsia="NSimSun" w:cs="Cambria" w:ascii="Aptos" w:hAnsi="Aptos"/>
          <w:color w:val="auto"/>
          <w:sz w:val="24"/>
          <w:szCs w:val="24"/>
          <w:lang w:val="pl-PL" w:eastAsia="zh-CN" w:bidi="hi-IN"/>
        </w:rPr>
        <w:t>specyfikacji technicznymi wykonania i odbioru robót budowlanych</w:t>
      </w:r>
      <w:r>
        <w:rPr>
          <w:rFonts w:eastAsia="NSimSun" w:cs="Tahoma" w:ascii="Aptos" w:hAnsi="Aptos"/>
          <w:color w:val="auto"/>
          <w:sz w:val="24"/>
          <w:szCs w:val="24"/>
          <w:lang w:val="pl-PL" w:eastAsia="zh-CN" w:bidi="hi-IN"/>
        </w:rPr>
        <w:t>;</w:t>
      </w:r>
    </w:p>
    <w:p>
      <w:pPr>
        <w:pStyle w:val="Normal"/>
        <w:widowControl/>
        <w:numPr>
          <w:ilvl w:val="0"/>
          <w:numId w:val="11"/>
        </w:numPr>
        <w:tabs>
          <w:tab w:val="clear" w:pos="720"/>
          <w:tab w:val="left" w:pos="851" w:leader="none"/>
        </w:tabs>
        <w:suppressAutoHyphens w:val="true"/>
        <w:bidi w:val="0"/>
        <w:spacing w:lineRule="auto" w:line="360" w:before="0" w:after="0"/>
        <w:ind w:hanging="340" w:left="737" w:right="0"/>
        <w:jc w:val="both"/>
        <w:rPr>
          <w:rFonts w:ascii="Aptos" w:hAnsi="Aptos"/>
        </w:rPr>
      </w:pPr>
      <w:r>
        <w:rPr>
          <w:rFonts w:eastAsia="NSimSun" w:cs="Tahoma" w:ascii="Aptos" w:hAnsi="Aptos"/>
          <w:color w:val="auto"/>
          <w:sz w:val="24"/>
          <w:szCs w:val="24"/>
          <w:lang w:val="pl-PL" w:eastAsia="zh-CN" w:bidi="hi-IN"/>
        </w:rPr>
        <w:t xml:space="preserve">koszty związane z odbiorami częściowymi i uzyskaniem pozytywnych protokołów odbioru po zakończeniu budowy oraz koszty dokumentów związanych z uzyskaniem dokumentów zezwalających na dojazd do budowy samochodów ciężarowych przekraczających dopuszczalnych na danych drogach tonaż, </w:t>
      </w:r>
    </w:p>
    <w:p>
      <w:pPr>
        <w:pStyle w:val="Normal"/>
        <w:widowControl/>
        <w:numPr>
          <w:ilvl w:val="0"/>
          <w:numId w:val="11"/>
        </w:numPr>
        <w:tabs>
          <w:tab w:val="clear" w:pos="720"/>
          <w:tab w:val="left" w:pos="851" w:leader="none"/>
        </w:tabs>
        <w:suppressAutoHyphens w:val="true"/>
        <w:bidi w:val="0"/>
        <w:spacing w:lineRule="auto" w:line="360" w:before="0" w:after="0"/>
        <w:ind w:hanging="340" w:left="737" w:right="0"/>
        <w:jc w:val="both"/>
        <w:rPr>
          <w:rFonts w:ascii="Aptos" w:hAnsi="Aptos"/>
        </w:rPr>
      </w:pPr>
      <w:r>
        <w:rPr>
          <w:rFonts w:eastAsia="NSimSun" w:cs="Tahoma" w:ascii="Aptos" w:hAnsi="Aptos"/>
          <w:color w:val="auto"/>
          <w:sz w:val="24"/>
          <w:szCs w:val="24"/>
          <w:lang w:val="pl-PL" w:eastAsia="zh-CN" w:bidi="hi-IN"/>
        </w:rPr>
        <w:t>kosztów związanych z przywróceniem stanu poprzedniego (zmienionego w związku z prowadzonymi robotami) eksploatowanych dróg i wszystkich działek prywatnych znajdujących się bezpośrednio lub pośrednio w otoczeniu inwestycji;</w:t>
      </w:r>
    </w:p>
    <w:p>
      <w:pPr>
        <w:pStyle w:val="Normal"/>
        <w:widowControl/>
        <w:numPr>
          <w:ilvl w:val="0"/>
          <w:numId w:val="11"/>
        </w:numPr>
        <w:tabs>
          <w:tab w:val="clear" w:pos="720"/>
          <w:tab w:val="left" w:pos="851" w:leader="none"/>
        </w:tabs>
        <w:suppressAutoHyphens w:val="true"/>
        <w:bidi w:val="0"/>
        <w:spacing w:lineRule="auto" w:line="360" w:before="0" w:after="0"/>
        <w:ind w:hanging="340" w:left="737" w:right="0"/>
        <w:jc w:val="both"/>
        <w:rPr>
          <w:rFonts w:ascii="Aptos" w:hAnsi="Aptos"/>
        </w:rPr>
      </w:pPr>
      <w:r>
        <w:rPr>
          <w:rFonts w:eastAsia="NSimSun" w:cs="Tahoma" w:ascii="Aptos" w:hAnsi="Aptos"/>
          <w:color w:val="auto"/>
          <w:sz w:val="24"/>
          <w:szCs w:val="24"/>
          <w:lang w:val="pl-PL" w:eastAsia="zh-CN" w:bidi="hi-IN"/>
        </w:rPr>
        <w:t>koszty związane z uzyskaniem wszelkich wymaganych prawem zezwoleń i pozwoleń, a koniecznych dla realizacji przedmiotu zamówienia;</w:t>
      </w:r>
    </w:p>
    <w:p>
      <w:pPr>
        <w:pStyle w:val="Normal"/>
        <w:widowControl/>
        <w:numPr>
          <w:ilvl w:val="0"/>
          <w:numId w:val="11"/>
        </w:numPr>
        <w:tabs>
          <w:tab w:val="clear" w:pos="720"/>
          <w:tab w:val="left" w:pos="851" w:leader="none"/>
        </w:tabs>
        <w:suppressAutoHyphens w:val="true"/>
        <w:bidi w:val="0"/>
        <w:spacing w:lineRule="auto" w:line="360" w:before="0" w:after="0"/>
        <w:ind w:hanging="340" w:left="737" w:right="0"/>
        <w:jc w:val="both"/>
        <w:rPr>
          <w:rFonts w:ascii="Aptos" w:hAnsi="Aptos"/>
        </w:rPr>
      </w:pPr>
      <w:r>
        <w:rPr>
          <w:rFonts w:eastAsia="NSimSun" w:cs="Tahoma" w:ascii="Aptos" w:hAnsi="Aptos"/>
          <w:color w:val="auto"/>
          <w:sz w:val="24"/>
          <w:szCs w:val="24"/>
          <w:lang w:val="pl-PL" w:eastAsia="zh-CN" w:bidi="hi-IN"/>
        </w:rPr>
        <w:t>koszty związane z odwozem i składowaniem poza terenem budowy ziemi, gruzu i odpadów pozostałych w wyniku prowadzenia prac budowlanych związanych z przedmiotem zamówienia, jak również koszty wywozu ziemi na odkład;</w:t>
      </w:r>
    </w:p>
    <w:p>
      <w:pPr>
        <w:pStyle w:val="Normal"/>
        <w:widowControl/>
        <w:numPr>
          <w:ilvl w:val="0"/>
          <w:numId w:val="11"/>
        </w:numPr>
        <w:tabs>
          <w:tab w:val="clear" w:pos="720"/>
          <w:tab w:val="left" w:pos="851" w:leader="none"/>
        </w:tabs>
        <w:suppressAutoHyphens w:val="true"/>
        <w:bidi w:val="0"/>
        <w:spacing w:lineRule="auto" w:line="360" w:before="0" w:after="0"/>
        <w:ind w:hanging="340" w:left="737" w:right="0"/>
        <w:jc w:val="both"/>
        <w:rPr>
          <w:rFonts w:ascii="Aptos" w:hAnsi="Aptos"/>
        </w:rPr>
      </w:pPr>
      <w:r>
        <w:rPr>
          <w:rFonts w:eastAsia="NSimSun" w:cs="Tahoma" w:ascii="Aptos" w:hAnsi="Aptos"/>
          <w:color w:val="auto"/>
          <w:sz w:val="24"/>
          <w:szCs w:val="24"/>
          <w:lang w:val="pl-PL" w:eastAsia="zh-CN" w:bidi="hi-IN"/>
        </w:rPr>
        <w:t>koszty związane z wykonaniem</w:t>
      </w:r>
      <w:r>
        <w:rPr>
          <w:rFonts w:eastAsia="NSimSun" w:cs="Calibri" w:ascii="Aptos" w:hAnsi="Aptos"/>
          <w:color w:val="auto"/>
          <w:sz w:val="24"/>
          <w:szCs w:val="24"/>
          <w:lang w:val="pl-PL" w:eastAsia="zh-CN" w:bidi="hi-IN"/>
        </w:rPr>
        <w:t xml:space="preserve"> i organizacją zaplecza budowy jak również oznakowaniu budowy i dróg bezpośrednio przed wjazdem na budowę,</w:t>
      </w:r>
    </w:p>
    <w:p>
      <w:pPr>
        <w:pStyle w:val="Normal"/>
        <w:numPr>
          <w:ilvl w:val="0"/>
          <w:numId w:val="10"/>
        </w:numPr>
        <w:tabs>
          <w:tab w:val="clear" w:pos="720"/>
          <w:tab w:val="left" w:pos="576" w:leader="none"/>
          <w:tab w:val="left" w:pos="851" w:leader="none"/>
        </w:tabs>
        <w:spacing w:lineRule="auto" w:line="360"/>
        <w:jc w:val="both"/>
        <w:rPr>
          <w:rFonts w:ascii="Aptos" w:hAnsi="Aptos"/>
        </w:rPr>
      </w:pPr>
      <w:r>
        <w:rPr>
          <w:rFonts w:eastAsia="NSimSun" w:cs="Tahoma" w:ascii="Aptos" w:hAnsi="Aptos"/>
          <w:color w:val="auto"/>
          <w:sz w:val="24"/>
          <w:szCs w:val="24"/>
          <w:lang w:val="pl-PL" w:eastAsia="zh-CN" w:bidi="hi-IN"/>
        </w:rPr>
        <w:t>Oferta (wycena) obejmować będzie wszelkie ryzyko i odpowiedzialność Wykonawcy prawidłowego oszacowania wszelkich kosztów związanych z realizacją przedmiotu zamówienia, a także przewidzenia innych czynników mających lub mogących mieć wpływ na te koszty.</w:t>
      </w:r>
    </w:p>
    <w:p>
      <w:pPr>
        <w:pStyle w:val="Normal"/>
        <w:numPr>
          <w:ilvl w:val="0"/>
          <w:numId w:val="10"/>
        </w:numPr>
        <w:tabs>
          <w:tab w:val="clear" w:pos="720"/>
          <w:tab w:val="left" w:pos="576" w:leader="none"/>
          <w:tab w:val="left" w:pos="851" w:leader="none"/>
        </w:tabs>
        <w:spacing w:lineRule="auto" w:line="360"/>
        <w:jc w:val="both"/>
        <w:rPr>
          <w:rFonts w:ascii="Aptos" w:hAnsi="Aptos"/>
        </w:rPr>
      </w:pPr>
      <w:r>
        <w:rPr>
          <w:rFonts w:eastAsia="NSimSun" w:cs="Tahoma" w:ascii="Aptos" w:hAnsi="Aptos"/>
          <w:color w:val="auto"/>
          <w:sz w:val="24"/>
          <w:szCs w:val="24"/>
          <w:lang w:val="pl-PL" w:eastAsia="zh-CN" w:bidi="hi-IN"/>
        </w:rPr>
        <w:t>Wszystkie błędy ujawnione w dokumentacji projektowej (na rysunkach), w specyfikacjach technicznych wykonania i odbioru robót oraz w Przedmiarach robot Wykonawca powinien zgłosić Zamawiającemu przed terminem składania ofert.</w:t>
      </w:r>
    </w:p>
    <w:p>
      <w:pPr>
        <w:pStyle w:val="Normal"/>
        <w:numPr>
          <w:ilvl w:val="0"/>
          <w:numId w:val="10"/>
        </w:numPr>
        <w:tabs>
          <w:tab w:val="clear" w:pos="720"/>
          <w:tab w:val="left" w:pos="576" w:leader="none"/>
          <w:tab w:val="left" w:pos="851" w:leader="none"/>
        </w:tabs>
        <w:spacing w:lineRule="auto" w:line="360"/>
        <w:jc w:val="both"/>
        <w:rPr>
          <w:rFonts w:ascii="Aptos" w:hAnsi="Aptos"/>
        </w:rPr>
      </w:pPr>
      <w:r>
        <w:rPr>
          <w:rFonts w:eastAsia="NSimSun" w:cs="Tahoma" w:ascii="Aptos" w:hAnsi="Aptos"/>
          <w:color w:val="auto"/>
          <w:sz w:val="24"/>
          <w:szCs w:val="24"/>
          <w:lang w:val="pl-PL" w:eastAsia="zh-CN" w:bidi="hi-IN"/>
        </w:rPr>
        <w:t>Tam, gdzie na rysunkach, w specyfikacjach technicznych wykonania i odbioru robót, przedmiarze lub innych elementach opisu przedmiotu zamówienia zostało wskazane pochodzenie materiałów przez podanie marki, znaku towarowego, producenta, dostawcy uważa się że pochodzenie to zostało wskazane przypadkowo i należy je traktować jako niewiążące dla Wykonawcy.</w:t>
      </w:r>
    </w:p>
    <w:p>
      <w:pPr>
        <w:pStyle w:val="Normal"/>
        <w:numPr>
          <w:ilvl w:val="0"/>
          <w:numId w:val="10"/>
        </w:numPr>
        <w:tabs>
          <w:tab w:val="clear" w:pos="720"/>
          <w:tab w:val="left" w:pos="576" w:leader="none"/>
          <w:tab w:val="left" w:pos="851" w:leader="none"/>
        </w:tabs>
        <w:spacing w:lineRule="auto" w:line="360"/>
        <w:jc w:val="both"/>
        <w:rPr>
          <w:rFonts w:ascii="Aptos" w:hAnsi="Aptos"/>
        </w:rPr>
      </w:pPr>
      <w:r>
        <w:rPr>
          <w:rFonts w:eastAsia="NSimSun" w:cs="Tahoma" w:ascii="Aptos" w:hAnsi="Aptos"/>
          <w:color w:val="auto"/>
          <w:sz w:val="24"/>
          <w:szCs w:val="24"/>
          <w:lang w:val="pl-PL" w:eastAsia="zh-CN" w:bidi="hi-IN"/>
        </w:rPr>
        <w:t>Tam, gdzie na rysunkach, w specyfikacjach technicznych wykonania i odbioru robót, przedmiarze lub innych elementach opisu przedmiotu zamówienia zostało wskazane odniesienie do norm, europejskich ocen technicznych, aprobat, specyfikacji technicznych i systemów referencji technicznych, o których o których mowa w art. 30 ust. 1 - 3 Pzp, Zamawiający dopuszcza rozwiązania równoważne. Wykonawca, który powołuje się na rozwiązania równoważne opisywanym przez Zamawiającego, jest obowiązany wykazać, że oferowane przez niego dostawy, usługi lub roboty budowlane spełniają wymagania określone przez Zamawiającego</w:t>
      </w:r>
    </w:p>
    <w:p>
      <w:pPr>
        <w:pStyle w:val="Normal"/>
        <w:numPr>
          <w:ilvl w:val="0"/>
          <w:numId w:val="10"/>
        </w:numPr>
        <w:tabs>
          <w:tab w:val="clear" w:pos="720"/>
          <w:tab w:val="left" w:pos="576" w:leader="none"/>
          <w:tab w:val="left" w:pos="851" w:leader="none"/>
        </w:tabs>
        <w:bidi w:val="0"/>
        <w:spacing w:lineRule="auto" w:line="360"/>
        <w:jc w:val="both"/>
        <w:rPr>
          <w:rFonts w:ascii="Aptos" w:hAnsi="Aptos"/>
        </w:rPr>
      </w:pPr>
      <w:r>
        <w:rPr>
          <w:rFonts w:eastAsia="NSimSun" w:cs="Calibri" w:ascii="Aptos" w:hAnsi="Aptos"/>
          <w:color w:val="auto"/>
          <w:sz w:val="24"/>
          <w:szCs w:val="24"/>
          <w:lang w:val="pl-PL" w:eastAsia="zh-CN" w:bidi="hi-IN"/>
        </w:rPr>
        <w:t>Jeżeli została złożona oferta, której wybór prowadziłby do powstania u zamawiającego obowiązku podatkowego zgodnie z ustawą z dnia 11 marca 2004 r. o podatku od towarów i usług (Dz.U. z 2024 r. poz. 361 i 852), dla celów zastosowania kryterium ceny lub kosztu zamawiający dolicza do przedstawionej w tej ofercie ceny kwotę podatku od towarów i usług, którą miałby obowiązek rozliczyć.</w:t>
      </w:r>
    </w:p>
    <w:p>
      <w:pPr>
        <w:pStyle w:val="Normal"/>
        <w:numPr>
          <w:ilvl w:val="0"/>
          <w:numId w:val="10"/>
        </w:numPr>
        <w:tabs>
          <w:tab w:val="clear" w:pos="720"/>
          <w:tab w:val="left" w:pos="576" w:leader="none"/>
          <w:tab w:val="left" w:pos="851" w:leader="none"/>
        </w:tabs>
        <w:spacing w:lineRule="auto" w:line="360"/>
        <w:jc w:val="both"/>
        <w:rPr>
          <w:rFonts w:ascii="Aptos" w:hAnsi="Aptos"/>
        </w:rPr>
      </w:pPr>
      <w:r>
        <w:rPr>
          <w:rFonts w:eastAsia="NSimSun" w:cs="Calibri" w:ascii="Aptos" w:hAnsi="Aptos"/>
          <w:color w:val="auto"/>
          <w:sz w:val="24"/>
          <w:szCs w:val="24"/>
          <w:lang w:val="pl-PL" w:eastAsia="zh-CN" w:bidi="hi-IN"/>
        </w:rPr>
        <w:t>W ofercie, o której mowa w ust. 9, wykonawca ma obowiązek:</w:t>
      </w:r>
    </w:p>
    <w:p>
      <w:pPr>
        <w:pStyle w:val="Normal"/>
        <w:widowControl/>
        <w:numPr>
          <w:ilvl w:val="0"/>
          <w:numId w:val="9"/>
        </w:numPr>
        <w:tabs>
          <w:tab w:val="clear" w:pos="720"/>
          <w:tab w:val="left" w:pos="360" w:leader="none"/>
        </w:tabs>
        <w:suppressAutoHyphens w:val="true"/>
        <w:bidi w:val="0"/>
        <w:spacing w:lineRule="auto" w:line="360" w:before="0" w:after="0"/>
        <w:ind w:hanging="340" w:left="794" w:right="0"/>
        <w:jc w:val="both"/>
        <w:rPr>
          <w:rFonts w:ascii="Aptos" w:hAnsi="Aptos"/>
        </w:rPr>
      </w:pPr>
      <w:r>
        <w:rPr>
          <w:rFonts w:eastAsia="NSimSun" w:cs="Calibri" w:ascii="Aptos" w:hAnsi="Aptos"/>
          <w:color w:val="auto"/>
          <w:sz w:val="24"/>
          <w:szCs w:val="24"/>
          <w:lang w:val="pl-PL" w:eastAsia="zh-CN" w:bidi="hi-IN"/>
        </w:rPr>
        <w:t>poinformowania zamawiającego, że wybór jego oferty będzie prowadził do powstania u zamawiającego obowiązku podatkowego;</w:t>
      </w:r>
    </w:p>
    <w:p>
      <w:pPr>
        <w:pStyle w:val="Normal"/>
        <w:widowControl/>
        <w:numPr>
          <w:ilvl w:val="0"/>
          <w:numId w:val="9"/>
        </w:numPr>
        <w:tabs>
          <w:tab w:val="clear" w:pos="720"/>
          <w:tab w:val="left" w:pos="360" w:leader="none"/>
        </w:tabs>
        <w:suppressAutoHyphens w:val="true"/>
        <w:bidi w:val="0"/>
        <w:spacing w:lineRule="auto" w:line="360" w:before="0" w:after="0"/>
        <w:ind w:hanging="340" w:left="794" w:right="0"/>
        <w:jc w:val="both"/>
        <w:rPr>
          <w:rFonts w:ascii="Aptos" w:hAnsi="Aptos"/>
        </w:rPr>
      </w:pPr>
      <w:r>
        <w:rPr>
          <w:rFonts w:eastAsia="NSimSun" w:cs="Calibri" w:ascii="Aptos" w:hAnsi="Aptos"/>
          <w:color w:val="auto"/>
          <w:sz w:val="24"/>
          <w:szCs w:val="24"/>
          <w:lang w:val="pl-PL" w:eastAsia="zh-CN" w:bidi="hi-IN"/>
        </w:rPr>
        <w:t>wskazania nazwy (rodzaju) towaru lub usługi, których dostawa lub świadczenie będą prowadziły do powstania obowiązku podatkowego;</w:t>
      </w:r>
    </w:p>
    <w:p>
      <w:pPr>
        <w:pStyle w:val="Normal"/>
        <w:widowControl/>
        <w:numPr>
          <w:ilvl w:val="0"/>
          <w:numId w:val="9"/>
        </w:numPr>
        <w:tabs>
          <w:tab w:val="clear" w:pos="720"/>
          <w:tab w:val="left" w:pos="360" w:leader="none"/>
        </w:tabs>
        <w:suppressAutoHyphens w:val="true"/>
        <w:bidi w:val="0"/>
        <w:spacing w:lineRule="auto" w:line="360" w:before="0" w:after="0"/>
        <w:ind w:hanging="340" w:left="794" w:right="0"/>
        <w:jc w:val="both"/>
        <w:rPr>
          <w:rFonts w:ascii="Aptos" w:hAnsi="Aptos"/>
        </w:rPr>
      </w:pPr>
      <w:r>
        <w:rPr>
          <w:rFonts w:eastAsia="NSimSun" w:cs="Calibri" w:ascii="Aptos" w:hAnsi="Aptos"/>
          <w:color w:val="auto"/>
          <w:sz w:val="24"/>
          <w:szCs w:val="24"/>
          <w:lang w:val="pl-PL" w:eastAsia="zh-CN" w:bidi="hi-IN"/>
        </w:rPr>
        <w:t>wskazania wartości towaru lub usługi objętego obowiązkiem podatkowym zamawiającego, bez kwoty podatku;</w:t>
      </w:r>
    </w:p>
    <w:p>
      <w:pPr>
        <w:pStyle w:val="Normal"/>
        <w:widowControl/>
        <w:numPr>
          <w:ilvl w:val="0"/>
          <w:numId w:val="9"/>
        </w:numPr>
        <w:tabs>
          <w:tab w:val="clear" w:pos="720"/>
          <w:tab w:val="left" w:pos="360" w:leader="none"/>
        </w:tabs>
        <w:suppressAutoHyphens w:val="true"/>
        <w:bidi w:val="0"/>
        <w:spacing w:lineRule="auto" w:line="360" w:before="0" w:after="0"/>
        <w:ind w:hanging="340" w:left="794" w:right="0"/>
        <w:jc w:val="both"/>
        <w:rPr>
          <w:rFonts w:ascii="Aptos" w:hAnsi="Aptos"/>
        </w:rPr>
      </w:pPr>
      <w:r>
        <w:rPr>
          <w:rFonts w:eastAsia="NSimSun" w:cs="Calibri" w:ascii="Aptos" w:hAnsi="Aptos"/>
          <w:b w:val="false"/>
          <w:bCs w:val="false"/>
          <w:color w:val="auto"/>
          <w:sz w:val="24"/>
          <w:szCs w:val="24"/>
          <w:lang w:val="pl-PL" w:eastAsia="zh-CN" w:bidi="hi-IN"/>
        </w:rPr>
        <w:t>wskazania stawki podatku od towarów i usług, która zgodnie z wiedzą wykonawcy, będzie miała zastosowanie.</w:t>
      </w:r>
    </w:p>
    <w:p>
      <w:pPr>
        <w:pStyle w:val="Normal"/>
        <w:spacing w:lineRule="auto" w:line="360"/>
        <w:jc w:val="both"/>
        <w:rPr>
          <w:rFonts w:ascii="Aptos" w:hAnsi="Aptos"/>
          <w:b/>
          <w:bCs/>
          <w:sz w:val="24"/>
          <w:szCs w:val="24"/>
          <w:highlight w:val="none"/>
          <w:shd w:fill="auto" w:val="clear"/>
        </w:rPr>
      </w:pPr>
      <w:r>
        <w:rPr>
          <w:rFonts w:ascii="Aptos" w:hAnsi="Aptos"/>
          <w:b/>
          <w:bCs/>
          <w:sz w:val="24"/>
          <w:szCs w:val="24"/>
          <w:shd w:fill="auto" w:val="clear"/>
        </w:rPr>
      </w:r>
    </w:p>
    <w:p>
      <w:pPr>
        <w:pStyle w:val="Normal"/>
        <w:numPr>
          <w:ilvl w:val="0"/>
          <w:numId w:val="3"/>
        </w:numPr>
        <w:spacing w:lineRule="auto" w:line="360"/>
        <w:jc w:val="both"/>
        <w:rPr>
          <w:rFonts w:ascii="Aptos" w:hAnsi="Aptos"/>
        </w:rPr>
      </w:pPr>
      <w:r>
        <w:rPr>
          <w:rFonts w:ascii="Aptos" w:hAnsi="Aptos"/>
          <w:b/>
          <w:bCs/>
          <w:sz w:val="24"/>
          <w:szCs w:val="24"/>
          <w:shd w:fill="auto" w:val="clear"/>
        </w:rPr>
        <w:t>Opis kryteriów oceny ofert, wraz z podaniem wag tych kryteriów, i sposobu oceny ofert.</w:t>
      </w:r>
    </w:p>
    <w:p>
      <w:pPr>
        <w:pStyle w:val="Normal"/>
        <w:spacing w:lineRule="auto" w:line="360"/>
        <w:jc w:val="both"/>
        <w:rPr>
          <w:rFonts w:ascii="Aptos" w:hAnsi="Aptos"/>
          <w:b/>
          <w:bCs/>
          <w:sz w:val="24"/>
          <w:szCs w:val="24"/>
          <w:highlight w:val="none"/>
          <w:shd w:fill="auto" w:val="clear"/>
        </w:rPr>
      </w:pPr>
      <w:r>
        <w:rPr>
          <w:rFonts w:ascii="Aptos" w:hAnsi="Aptos"/>
          <w:b/>
          <w:bCs/>
          <w:sz w:val="24"/>
          <w:szCs w:val="24"/>
          <w:shd w:fill="auto" w:val="clear"/>
        </w:rPr>
      </w:r>
    </w:p>
    <w:p>
      <w:pPr>
        <w:pStyle w:val="Normal"/>
        <w:widowControl/>
        <w:numPr>
          <w:ilvl w:val="0"/>
          <w:numId w:val="19"/>
        </w:numPr>
        <w:tabs>
          <w:tab w:val="clear" w:pos="720"/>
          <w:tab w:val="left" w:pos="1296" w:leader="none"/>
          <w:tab w:val="left" w:pos="1440" w:leader="none"/>
          <w:tab w:val="left" w:pos="1571" w:leader="none"/>
        </w:tabs>
        <w:suppressAutoHyphens w:val="true"/>
        <w:bidi w:val="0"/>
        <w:spacing w:lineRule="auto" w:line="360" w:before="0" w:after="0"/>
        <w:ind w:hanging="340" w:left="340" w:right="0"/>
        <w:jc w:val="both"/>
        <w:rPr>
          <w:rFonts w:ascii="Aptos" w:hAnsi="Aptos"/>
        </w:rPr>
      </w:pPr>
      <w:r>
        <w:rPr>
          <w:rFonts w:cs="Tahoma" w:ascii="Aptos" w:hAnsi="Aptos"/>
        </w:rPr>
        <w:t>Kryteria oceny ofert:</w:t>
      </w:r>
    </w:p>
    <w:p>
      <w:pPr>
        <w:pStyle w:val="Normal"/>
        <w:numPr>
          <w:ilvl w:val="1"/>
          <w:numId w:val="19"/>
        </w:numPr>
        <w:tabs>
          <w:tab w:val="clear" w:pos="720"/>
          <w:tab w:val="left" w:pos="1296" w:leader="none"/>
          <w:tab w:val="left" w:pos="1440" w:leader="none"/>
          <w:tab w:val="left" w:pos="1571" w:leader="none"/>
        </w:tabs>
        <w:spacing w:lineRule="auto" w:line="360" w:before="0" w:after="0"/>
        <w:ind w:hanging="360" w:left="720"/>
        <w:jc w:val="both"/>
        <w:rPr>
          <w:rFonts w:ascii="Aptos" w:hAnsi="Aptos"/>
        </w:rPr>
      </w:pPr>
      <w:r>
        <w:rPr>
          <w:rFonts w:ascii="Aptos" w:hAnsi="Aptos"/>
        </w:rPr>
        <w:t>cena – 60 punktów;</w:t>
      </w:r>
    </w:p>
    <w:p>
      <w:pPr>
        <w:pStyle w:val="Normal"/>
        <w:numPr>
          <w:ilvl w:val="1"/>
          <w:numId w:val="19"/>
        </w:numPr>
        <w:tabs>
          <w:tab w:val="clear" w:pos="720"/>
          <w:tab w:val="left" w:pos="1296" w:leader="none"/>
          <w:tab w:val="left" w:pos="1440" w:leader="none"/>
          <w:tab w:val="left" w:pos="1571" w:leader="none"/>
        </w:tabs>
        <w:bidi w:val="0"/>
        <w:spacing w:lineRule="auto" w:line="360" w:before="0" w:after="0"/>
        <w:ind w:hanging="360" w:left="720"/>
        <w:jc w:val="both"/>
        <w:rPr>
          <w:rFonts w:ascii="Aptos" w:hAnsi="Aptos"/>
        </w:rPr>
      </w:pPr>
      <w:r>
        <w:rPr>
          <w:rFonts w:eastAsia="NSimSun" w:cs="Arial" w:ascii="Aptos" w:hAnsi="Aptos"/>
          <w:color w:val="auto"/>
          <w:kern w:val="2"/>
          <w:sz w:val="24"/>
          <w:szCs w:val="24"/>
          <w:lang w:val="pl-PL" w:eastAsia="zh-CN" w:bidi="hi-IN"/>
        </w:rPr>
        <w:t>kwalifikacje i doświadczenie kierownika budowy – 16 punktów;</w:t>
      </w:r>
    </w:p>
    <w:p>
      <w:pPr>
        <w:pStyle w:val="Normal"/>
        <w:numPr>
          <w:ilvl w:val="1"/>
          <w:numId w:val="19"/>
        </w:numPr>
        <w:tabs>
          <w:tab w:val="clear" w:pos="720"/>
          <w:tab w:val="left" w:pos="1296" w:leader="none"/>
          <w:tab w:val="left" w:pos="1440" w:leader="none"/>
          <w:tab w:val="left" w:pos="1571" w:leader="none"/>
        </w:tabs>
        <w:bidi w:val="0"/>
        <w:spacing w:lineRule="auto" w:line="360" w:before="0" w:after="0"/>
        <w:ind w:hanging="360" w:left="720"/>
        <w:jc w:val="both"/>
        <w:rPr>
          <w:rFonts w:ascii="Aptos" w:hAnsi="Aptos"/>
        </w:rPr>
      </w:pPr>
      <w:r>
        <w:rPr>
          <w:rFonts w:eastAsia="NSimSun" w:cs="Arial" w:ascii="Aptos" w:hAnsi="Aptos"/>
          <w:color w:val="auto"/>
          <w:kern w:val="2"/>
          <w:sz w:val="24"/>
          <w:szCs w:val="24"/>
          <w:lang w:val="pl-PL" w:eastAsia="zh-CN" w:bidi="hi-IN"/>
        </w:rPr>
        <w:t>wydłużony okres gwarancji – 24 punkty;</w:t>
      </w:r>
    </w:p>
    <w:p>
      <w:pPr>
        <w:pStyle w:val="Normal"/>
        <w:widowControl/>
        <w:numPr>
          <w:ilvl w:val="0"/>
          <w:numId w:val="19"/>
        </w:numPr>
        <w:suppressAutoHyphens w:val="true"/>
        <w:bidi w:val="0"/>
        <w:spacing w:lineRule="auto" w:line="360" w:before="0" w:after="0"/>
        <w:ind w:hanging="340" w:left="340" w:right="0"/>
        <w:jc w:val="both"/>
        <w:rPr>
          <w:rFonts w:ascii="Aptos" w:hAnsi="Aptos"/>
        </w:rPr>
      </w:pPr>
      <w:r>
        <w:rPr>
          <w:rFonts w:ascii="Aptos" w:hAnsi="Aptos"/>
          <w:b/>
          <w:bCs/>
        </w:rPr>
        <w:t>Cena</w:t>
      </w:r>
      <w:r>
        <w:rPr>
          <w:rFonts w:ascii="Aptos" w:hAnsi="Aptos"/>
        </w:rPr>
        <w:t>. Oferta z najniższą ceną otrzyma 60 punktów. Pozostałe oferty proporcjonalnie mniej w/g następującego przelicznika: ilość punktów = najniższa cena /cena zawarta w ofercie badanej x 60 punktów.</w:t>
      </w:r>
    </w:p>
    <w:p>
      <w:pPr>
        <w:pStyle w:val="Normal"/>
        <w:widowControl/>
        <w:numPr>
          <w:ilvl w:val="0"/>
          <w:numId w:val="19"/>
        </w:numPr>
        <w:suppressAutoHyphens w:val="true"/>
        <w:bidi w:val="0"/>
        <w:spacing w:lineRule="auto" w:line="360" w:before="0" w:after="0"/>
        <w:ind w:hanging="340" w:left="340" w:right="0"/>
        <w:jc w:val="both"/>
        <w:rPr>
          <w:rFonts w:ascii="Aptos" w:hAnsi="Aptos"/>
        </w:rPr>
      </w:pPr>
      <w:r>
        <w:rPr>
          <w:rFonts w:ascii="Aptos" w:hAnsi="Aptos"/>
          <w:b/>
          <w:bCs/>
        </w:rPr>
        <w:t>Kwalifikacje i doświadczenie kierownika budowy</w:t>
      </w:r>
      <w:r>
        <w:rPr>
          <w:rFonts w:ascii="Aptos" w:hAnsi="Aptos"/>
        </w:rPr>
        <w:t xml:space="preserve">. </w:t>
      </w:r>
      <w:r>
        <w:rPr>
          <w:rFonts w:ascii="Aptos" w:hAnsi="Aptos"/>
          <w:shd w:fill="auto" w:val="clear"/>
        </w:rPr>
        <w:t xml:space="preserve">Z uwagi na to, że kwalifikacje zawodowe osoby pełniącej samodzielne funkcje techniczne (kierownika budowy), mogą mieć znaczący wpływ na jakość wykonania zamówienia, Zamawiający – w zgodzie z art. 242 ust. 1 pkt. 5 Pzp – będzie przyznawał dodatkowe punkty wykonawcy, który zadeklaruje w ofercie, że wyznaczy do realizacji zamówienia kierownika budowy o podwyższonym doświadczeniu zawodowym. W ramach tego kryterium Zamawiający przyzna punkty za kierowanie robotami budowlanymi przez osobę posiadającą doświadczenie wyrażające się wykonywaniem funkcji kierownika budowy dla robót budowlanych lub roboty budowlanej w zakresie dróg lub jezdni lub chodników lub torowisk tramwajowych: </w:t>
      </w:r>
    </w:p>
    <w:p>
      <w:pPr>
        <w:pStyle w:val="Normal"/>
        <w:widowControl/>
        <w:numPr>
          <w:ilvl w:val="1"/>
          <w:numId w:val="19"/>
        </w:numPr>
        <w:suppressAutoHyphens w:val="true"/>
        <w:bidi w:val="0"/>
        <w:spacing w:lineRule="auto" w:line="360" w:before="0" w:after="0"/>
        <w:ind w:hanging="374" w:left="686" w:right="0"/>
        <w:jc w:val="both"/>
        <w:rPr>
          <w:rFonts w:ascii="Aptos" w:hAnsi="Aptos"/>
        </w:rPr>
      </w:pPr>
      <w:r>
        <w:rPr>
          <w:rFonts w:ascii="Aptos" w:hAnsi="Aptos"/>
          <w:shd w:fill="auto" w:val="clear"/>
        </w:rPr>
        <w:t>0 pkt – za deklarowanego kierownika budowy z doświadczeniem o wartości mniejszej lub równej 200 000,00 zł;</w:t>
      </w:r>
    </w:p>
    <w:p>
      <w:pPr>
        <w:pStyle w:val="Normal"/>
        <w:widowControl/>
        <w:numPr>
          <w:ilvl w:val="1"/>
          <w:numId w:val="19"/>
        </w:numPr>
        <w:suppressAutoHyphens w:val="true"/>
        <w:bidi w:val="0"/>
        <w:spacing w:lineRule="auto" w:line="360" w:before="0" w:after="0"/>
        <w:ind w:hanging="374" w:left="686" w:right="0"/>
        <w:jc w:val="both"/>
        <w:rPr>
          <w:rFonts w:ascii="Aptos" w:hAnsi="Aptos"/>
        </w:rPr>
      </w:pPr>
      <w:r>
        <w:rPr>
          <w:rFonts w:ascii="Aptos" w:hAnsi="Aptos"/>
          <w:shd w:fill="auto" w:val="clear"/>
        </w:rPr>
        <w:t>4 pkt – za deklarowanego kierownika budowy z doświadczeniem o wartości powyżej 500 000,00 zł ale mniejszej lub równej 400 000,00 zł;</w:t>
      </w:r>
    </w:p>
    <w:p>
      <w:pPr>
        <w:pStyle w:val="Normal"/>
        <w:widowControl/>
        <w:numPr>
          <w:ilvl w:val="1"/>
          <w:numId w:val="19"/>
        </w:numPr>
        <w:suppressAutoHyphens w:val="true"/>
        <w:bidi w:val="0"/>
        <w:spacing w:lineRule="auto" w:line="360" w:before="0" w:after="0"/>
        <w:ind w:hanging="374" w:left="686" w:right="0"/>
        <w:jc w:val="both"/>
        <w:rPr>
          <w:rFonts w:ascii="Aptos" w:hAnsi="Aptos"/>
        </w:rPr>
      </w:pPr>
      <w:r>
        <w:rPr>
          <w:rFonts w:ascii="Aptos" w:hAnsi="Aptos"/>
          <w:shd w:fill="auto" w:val="clear"/>
        </w:rPr>
        <w:t>8 pkt – za deklarowanego kierownika budowy z doświadczeniem o wartości powyżej 400 000,00 zł ale mniejszej lub równej 600 000,00 zł;</w:t>
      </w:r>
    </w:p>
    <w:p>
      <w:pPr>
        <w:pStyle w:val="Normal"/>
        <w:widowControl/>
        <w:numPr>
          <w:ilvl w:val="1"/>
          <w:numId w:val="19"/>
        </w:numPr>
        <w:suppressAutoHyphens w:val="true"/>
        <w:bidi w:val="0"/>
        <w:spacing w:lineRule="auto" w:line="360" w:before="0" w:after="0"/>
        <w:ind w:hanging="374" w:left="686" w:right="0"/>
        <w:jc w:val="both"/>
        <w:rPr>
          <w:rFonts w:ascii="Aptos" w:hAnsi="Aptos"/>
        </w:rPr>
      </w:pPr>
      <w:r>
        <w:rPr>
          <w:rFonts w:ascii="Aptos" w:hAnsi="Aptos"/>
          <w:shd w:fill="auto" w:val="clear"/>
        </w:rPr>
        <w:t>12 pkt – za deklarowanego kierownika budowy z doświadczeniem o wartości powyżej 600 000,00 zł ale mniejszej lub równej 800 000,00 zł;</w:t>
      </w:r>
    </w:p>
    <w:p>
      <w:pPr>
        <w:pStyle w:val="Normal"/>
        <w:widowControl/>
        <w:numPr>
          <w:ilvl w:val="1"/>
          <w:numId w:val="19"/>
        </w:numPr>
        <w:suppressAutoHyphens w:val="true"/>
        <w:bidi w:val="0"/>
        <w:spacing w:lineRule="auto" w:line="360" w:before="0" w:after="0"/>
        <w:ind w:hanging="374" w:left="686" w:right="0"/>
        <w:jc w:val="both"/>
        <w:rPr>
          <w:rFonts w:ascii="Aptos" w:hAnsi="Aptos"/>
        </w:rPr>
      </w:pPr>
      <w:r>
        <w:rPr>
          <w:rFonts w:ascii="Aptos" w:hAnsi="Aptos"/>
          <w:shd w:fill="auto" w:val="clear"/>
        </w:rPr>
        <w:t>16 pkt – za deklarowanego kierownika budowy z doświadczeniem o wartości powyżej 800 000,00.</w:t>
      </w:r>
    </w:p>
    <w:p>
      <w:pPr>
        <w:pStyle w:val="Normal"/>
        <w:widowControl/>
        <w:suppressAutoHyphens w:val="true"/>
        <w:bidi w:val="0"/>
        <w:spacing w:lineRule="auto" w:line="360" w:before="0" w:after="0"/>
        <w:ind w:hanging="0" w:left="340" w:right="0"/>
        <w:jc w:val="both"/>
        <w:rPr>
          <w:rFonts w:ascii="Aptos" w:hAnsi="Aptos"/>
        </w:rPr>
      </w:pPr>
      <w:r>
        <w:rPr>
          <w:rFonts w:ascii="Aptos" w:hAnsi="Aptos"/>
          <w:shd w:fill="auto" w:val="clear"/>
        </w:rPr>
        <w:t>Kryterium jest niezależne od wymagań określonych w warunkach udziału w postępowaniu i Zamawiający nie pomniejsza podanego przez Wykonawcę doświadczenia o minimum określone w dziale VIII niniejszej SWZ.</w:t>
      </w:r>
    </w:p>
    <w:p>
      <w:pPr>
        <w:pStyle w:val="Normal"/>
        <w:widowControl/>
        <w:numPr>
          <w:ilvl w:val="0"/>
          <w:numId w:val="19"/>
        </w:numPr>
        <w:suppressAutoHyphens w:val="true"/>
        <w:bidi w:val="0"/>
        <w:spacing w:lineRule="auto" w:line="360" w:before="0" w:after="0"/>
        <w:ind w:hanging="340" w:left="340" w:right="0"/>
        <w:jc w:val="both"/>
        <w:rPr>
          <w:rFonts w:ascii="Aptos" w:hAnsi="Aptos"/>
        </w:rPr>
      </w:pPr>
      <w:r>
        <w:rPr>
          <w:rFonts w:ascii="Aptos" w:hAnsi="Aptos"/>
          <w:b/>
          <w:bCs/>
        </w:rPr>
        <w:t>Wydłużony okres gwarancji</w:t>
      </w:r>
      <w:r>
        <w:rPr>
          <w:rFonts w:ascii="Aptos" w:hAnsi="Aptos"/>
        </w:rPr>
        <w:t>: Wymagany minimalny okres gwarancji wynosi 60 miesięcy. Za wydłużenie okresu gwarancyjnego, Zamawiający przyzna:</w:t>
      </w:r>
    </w:p>
    <w:p>
      <w:pPr>
        <w:pStyle w:val="Normal"/>
        <w:widowControl/>
        <w:numPr>
          <w:ilvl w:val="1"/>
          <w:numId w:val="19"/>
        </w:numPr>
        <w:suppressAutoHyphens w:val="true"/>
        <w:bidi w:val="0"/>
        <w:spacing w:lineRule="auto" w:line="360" w:before="0" w:after="0"/>
        <w:ind w:hanging="340" w:left="680" w:right="0"/>
        <w:jc w:val="both"/>
        <w:rPr>
          <w:rFonts w:ascii="Aptos" w:hAnsi="Aptos"/>
        </w:rPr>
      </w:pPr>
      <w:r>
        <w:rPr>
          <w:rFonts w:ascii="Aptos" w:hAnsi="Aptos"/>
        </w:rPr>
        <w:t>0 pkt – za oferowany okres gwarancji wynoszący 60 do 71 miesięcy;</w:t>
      </w:r>
    </w:p>
    <w:p>
      <w:pPr>
        <w:pStyle w:val="Normal"/>
        <w:widowControl/>
        <w:numPr>
          <w:ilvl w:val="1"/>
          <w:numId w:val="19"/>
        </w:numPr>
        <w:suppressAutoHyphens w:val="true"/>
        <w:bidi w:val="0"/>
        <w:spacing w:lineRule="auto" w:line="360" w:before="0" w:after="0"/>
        <w:ind w:hanging="340" w:left="680" w:right="0"/>
        <w:jc w:val="both"/>
        <w:rPr>
          <w:rFonts w:ascii="Aptos" w:hAnsi="Aptos"/>
        </w:rPr>
      </w:pPr>
      <w:r>
        <w:rPr>
          <w:rFonts w:ascii="Aptos" w:hAnsi="Aptos"/>
        </w:rPr>
        <w:t>10 pkt – za oferowany okres gwarancji wynoszący 72 do 83 miesiące;</w:t>
      </w:r>
    </w:p>
    <w:p>
      <w:pPr>
        <w:pStyle w:val="Normal"/>
        <w:widowControl/>
        <w:numPr>
          <w:ilvl w:val="1"/>
          <w:numId w:val="19"/>
        </w:numPr>
        <w:suppressAutoHyphens w:val="true"/>
        <w:bidi w:val="0"/>
        <w:spacing w:lineRule="auto" w:line="360" w:before="0" w:after="0"/>
        <w:ind w:hanging="340" w:left="680" w:right="0"/>
        <w:jc w:val="both"/>
        <w:rPr>
          <w:rFonts w:ascii="Aptos" w:hAnsi="Aptos"/>
        </w:rPr>
      </w:pPr>
      <w:r>
        <w:rPr>
          <w:rFonts w:ascii="Aptos" w:hAnsi="Aptos"/>
        </w:rPr>
        <w:t>24 pkt – za oferowany okres gwarancji wynoszący 84 miesiące i więcej.</w:t>
      </w:r>
    </w:p>
    <w:p>
      <w:pPr>
        <w:pStyle w:val="Normal"/>
        <w:widowControl/>
        <w:suppressAutoHyphens w:val="true"/>
        <w:bidi w:val="0"/>
        <w:spacing w:lineRule="auto" w:line="360" w:before="0" w:after="0"/>
        <w:ind w:hanging="0" w:left="340" w:right="0"/>
        <w:jc w:val="both"/>
        <w:rPr>
          <w:rFonts w:ascii="Aptos" w:hAnsi="Aptos"/>
        </w:rPr>
      </w:pPr>
      <w:r>
        <w:rPr>
          <w:rFonts w:ascii="Aptos" w:hAnsi="Aptos"/>
        </w:rPr>
        <w:t xml:space="preserve">Brak informacji o okresie gwarancji lub wpisanie wartości 0 w formularzu ofertowym oznacza zaoferowanie minimalnego okresu gwarancji wymaganego przez Zamawiającego. </w:t>
      </w:r>
    </w:p>
    <w:p>
      <w:pPr>
        <w:pStyle w:val="Normal"/>
        <w:widowControl/>
        <w:numPr>
          <w:ilvl w:val="0"/>
          <w:numId w:val="19"/>
        </w:numPr>
        <w:suppressAutoHyphens w:val="true"/>
        <w:bidi w:val="0"/>
        <w:spacing w:lineRule="auto" w:line="360" w:before="0" w:after="0"/>
        <w:ind w:hanging="340" w:left="340" w:right="0"/>
        <w:jc w:val="both"/>
        <w:rPr>
          <w:rFonts w:ascii="Aptos" w:hAnsi="Aptos"/>
        </w:rPr>
      </w:pPr>
      <w:r>
        <w:rPr>
          <w:rFonts w:ascii="Aptos" w:hAnsi="Aptos"/>
        </w:rPr>
        <w:t>Najkorzystniejszą ofertą będzie oferta, której przyznana zostanie największa ilość punktów łącznie w kryteriach wskazanych w ust. 2 do 4 niniejszego działu.</w:t>
      </w:r>
    </w:p>
    <w:p>
      <w:pPr>
        <w:pStyle w:val="Normal"/>
        <w:widowControl/>
        <w:numPr>
          <w:ilvl w:val="0"/>
          <w:numId w:val="19"/>
        </w:numPr>
        <w:suppressAutoHyphens w:val="true"/>
        <w:bidi w:val="0"/>
        <w:spacing w:lineRule="auto" w:line="360" w:before="0" w:after="0"/>
        <w:ind w:hanging="340" w:left="340" w:right="0"/>
        <w:jc w:val="both"/>
        <w:rPr>
          <w:rFonts w:ascii="Aptos" w:hAnsi="Aptos"/>
        </w:rPr>
      </w:pPr>
      <w:r>
        <w:rPr>
          <w:rFonts w:ascii="Aptos" w:hAnsi="Aptos"/>
        </w:rPr>
        <w:t>Jeżeli nie będzie można wybrać najkorzystniejszej oferty z uwagi na to, że dwie lub więcej ofert przedstawia taki sam bilans ceny i pozostałych kryteriów oceny ofert, Zamawiający wybierze spośród tych ofert ofertę, która otrzymała najwyższą ocenę w kryterium o najwyższej wadze.</w:t>
      </w:r>
    </w:p>
    <w:p>
      <w:pPr>
        <w:pStyle w:val="Normal"/>
        <w:widowControl/>
        <w:numPr>
          <w:ilvl w:val="0"/>
          <w:numId w:val="19"/>
        </w:numPr>
        <w:suppressAutoHyphens w:val="true"/>
        <w:bidi w:val="0"/>
        <w:spacing w:lineRule="auto" w:line="360" w:before="0" w:after="0"/>
        <w:ind w:hanging="340" w:left="340" w:right="0"/>
        <w:jc w:val="both"/>
        <w:rPr>
          <w:rFonts w:ascii="Aptos" w:hAnsi="Aptos"/>
        </w:rPr>
      </w:pPr>
      <w:r>
        <w:rPr>
          <w:rFonts w:ascii="Aptos" w:hAnsi="Aptos"/>
        </w:rPr>
        <w:t>Jeżeli oferty otrzymają taką samą ocenę w kryterium o najwyższej wadze, Zamawiający wybierze ofertę z najniższą ceną.</w:t>
      </w:r>
    </w:p>
    <w:p>
      <w:pPr>
        <w:pStyle w:val="Normal"/>
        <w:widowControl/>
        <w:numPr>
          <w:ilvl w:val="0"/>
          <w:numId w:val="19"/>
        </w:numPr>
        <w:suppressAutoHyphens w:val="true"/>
        <w:bidi w:val="0"/>
        <w:spacing w:lineRule="auto" w:line="360" w:before="0" w:after="0"/>
        <w:ind w:hanging="340" w:left="340" w:right="0"/>
        <w:jc w:val="both"/>
        <w:rPr>
          <w:rFonts w:ascii="Aptos" w:hAnsi="Aptos"/>
        </w:rPr>
      </w:pPr>
      <w:r>
        <w:rPr>
          <w:rFonts w:ascii="Aptos" w:hAnsi="Aptos"/>
        </w:rPr>
        <w:t>Jeżeli nie będzie można dokonać wyboru oferty w sposób, o którym mowa w ust. 7, Zamawiający wezwie wykonawców, którzy złożyli te oferty, do złożenia w terminie określonym przez zamawiającego ofert dodatkowych zawierających nową cenę.</w:t>
      </w:r>
    </w:p>
    <w:p>
      <w:pPr>
        <w:pStyle w:val="Normal"/>
        <w:spacing w:lineRule="auto" w:line="360"/>
        <w:jc w:val="both"/>
        <w:rPr>
          <w:rFonts w:ascii="Aptos" w:hAnsi="Aptos"/>
          <w:b/>
          <w:bCs/>
          <w:sz w:val="24"/>
          <w:szCs w:val="24"/>
          <w:highlight w:val="none"/>
          <w:shd w:fill="auto" w:val="clear"/>
        </w:rPr>
      </w:pPr>
      <w:r>
        <w:rPr>
          <w:rFonts w:ascii="Aptos" w:hAnsi="Aptos"/>
          <w:b/>
          <w:bCs/>
          <w:sz w:val="24"/>
          <w:szCs w:val="24"/>
          <w:shd w:fill="auto" w:val="clear"/>
        </w:rPr>
      </w:r>
    </w:p>
    <w:p>
      <w:pPr>
        <w:pStyle w:val="Normal"/>
        <w:numPr>
          <w:ilvl w:val="0"/>
          <w:numId w:val="3"/>
        </w:numPr>
        <w:spacing w:lineRule="auto" w:line="360"/>
        <w:jc w:val="both"/>
        <w:rPr>
          <w:rFonts w:ascii="Aptos" w:hAnsi="Aptos"/>
        </w:rPr>
      </w:pPr>
      <w:r>
        <w:rPr>
          <w:rFonts w:ascii="Aptos" w:hAnsi="Aptos"/>
          <w:b/>
          <w:bCs/>
          <w:sz w:val="24"/>
          <w:szCs w:val="24"/>
          <w:shd w:fill="auto" w:val="clear"/>
        </w:rPr>
        <w:t>Informacje o formalnościach, jakie muszą zostać dopełnione po wyborze oferty w celu zawarcia umowy w sprawie zamówienia publicznego.</w:t>
      </w:r>
    </w:p>
    <w:p>
      <w:pPr>
        <w:pStyle w:val="Normal"/>
        <w:spacing w:lineRule="auto" w:line="360"/>
        <w:jc w:val="both"/>
        <w:rPr>
          <w:rFonts w:ascii="Aptos" w:hAnsi="Aptos"/>
          <w:b/>
          <w:bCs/>
          <w:sz w:val="24"/>
          <w:szCs w:val="24"/>
          <w:highlight w:val="none"/>
          <w:shd w:fill="auto" w:val="clear"/>
        </w:rPr>
      </w:pPr>
      <w:r>
        <w:rPr>
          <w:rFonts w:ascii="Aptos" w:hAnsi="Aptos"/>
          <w:b/>
          <w:bCs/>
          <w:sz w:val="24"/>
          <w:szCs w:val="24"/>
          <w:shd w:fill="auto" w:val="clear"/>
        </w:rPr>
      </w:r>
    </w:p>
    <w:p>
      <w:pPr>
        <w:pStyle w:val="Normal"/>
        <w:widowControl/>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1. Zamawiający zawiera umowę w sprawie zamówienia publicznego, z uwzględnieniem art. 577 Pzp, w terminie nie krótszym niż 5 dni od dnia przesłania zawiadomienia o wyborze najkorzystniejszej oferty, jeżeli zawiadomienie to zostało przesłane przy użyciu środków komunikacji elektronicznej.</w:t>
      </w:r>
    </w:p>
    <w:p>
      <w:pPr>
        <w:pStyle w:val="Normal"/>
        <w:widowControl/>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2. Zamawiający może zawrzeć umowę w sprawie zamówienia publicznego przed upływem terminu, o którym mowa w ust. 1, jeżeli w postępowaniu o udzielenie zamówienia złożono tylko jedną ofertę.</w:t>
      </w:r>
    </w:p>
    <w:p>
      <w:pPr>
        <w:pStyle w:val="Normal"/>
        <w:widowControl/>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3. Wykonawca, którego oferta została wybrana jako najkorzystniejsza, zostanie poinformowany przez Zamawiającego o miejscu i terminie podpisania umowy.</w:t>
      </w:r>
    </w:p>
    <w:p>
      <w:pPr>
        <w:pStyle w:val="Normal"/>
        <w:widowControl/>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 xml:space="preserve">4. Wykonawca, o którym mowa w ust. 1, ma obowiązek zawrzeć umowę w sprawie zamówienia na warunkach określonych w projektowanych postanowieniach umowy, które stanowią </w:t>
      </w:r>
      <w:r>
        <w:rPr>
          <w:rFonts w:ascii="Aptos" w:hAnsi="Aptos"/>
          <w:b/>
          <w:bCs/>
          <w:sz w:val="24"/>
          <w:szCs w:val="24"/>
          <w:shd w:fill="auto" w:val="clear"/>
        </w:rPr>
        <w:t>załącznik nr 1</w:t>
      </w:r>
      <w:r>
        <w:rPr>
          <w:rFonts w:ascii="Aptos" w:hAnsi="Aptos"/>
          <w:b w:val="false"/>
          <w:bCs w:val="false"/>
          <w:sz w:val="24"/>
          <w:szCs w:val="24"/>
          <w:shd w:fill="auto" w:val="clear"/>
        </w:rPr>
        <w:t xml:space="preserve"> SWZ. Umowa zostanie uzupełniona o zapisy wynikające ze złożonej oferty.</w:t>
      </w:r>
    </w:p>
    <w:p>
      <w:pPr>
        <w:pStyle w:val="Normal"/>
        <w:widowControl/>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5. Przed podpisaniem umowy Wykonawcy wspólnie ubiegający się o udzielenie zamówienia (w przypadku wyboru ich oferty jako najkorzystniejszej) przedstawią Zamawiającemu umowę regulującą współpracę tych Wykonawców.</w:t>
      </w:r>
    </w:p>
    <w:p>
      <w:pPr>
        <w:pStyle w:val="Normal"/>
        <w:widowControl/>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6. 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pPr>
        <w:pStyle w:val="Normal"/>
        <w:widowControl/>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7. Wykonawca wnosi zabezpieczenie należytego wykonania umowy przed zawarciem umowy.</w:t>
      </w:r>
    </w:p>
    <w:p>
      <w:pPr>
        <w:pStyle w:val="Normal"/>
        <w:bidi w:val="0"/>
        <w:spacing w:lineRule="auto" w:line="360"/>
        <w:jc w:val="both"/>
        <w:rPr>
          <w:rFonts w:ascii="Aptos" w:hAnsi="Aptos"/>
          <w:b/>
          <w:bCs/>
          <w:sz w:val="24"/>
          <w:szCs w:val="24"/>
          <w:shd w:fill="auto" w:val="clear"/>
        </w:rPr>
      </w:pPr>
      <w:r>
        <w:rPr>
          <w:rFonts w:ascii="Aptos" w:hAnsi="Aptos"/>
          <w:b/>
          <w:bCs/>
          <w:sz w:val="24"/>
          <w:szCs w:val="24"/>
          <w:shd w:fill="auto" w:val="clear"/>
        </w:rPr>
      </w:r>
    </w:p>
    <w:p>
      <w:pPr>
        <w:pStyle w:val="Normal"/>
        <w:numPr>
          <w:ilvl w:val="0"/>
          <w:numId w:val="3"/>
        </w:numPr>
        <w:bidi w:val="0"/>
        <w:spacing w:lineRule="auto" w:line="360"/>
        <w:jc w:val="both"/>
        <w:rPr>
          <w:rFonts w:ascii="Aptos" w:hAnsi="Aptos"/>
        </w:rPr>
      </w:pPr>
      <w:r>
        <w:rPr>
          <w:rFonts w:ascii="Aptos" w:hAnsi="Aptos"/>
          <w:b/>
          <w:bCs/>
          <w:sz w:val="24"/>
          <w:szCs w:val="24"/>
          <w:shd w:fill="auto" w:val="clear"/>
        </w:rPr>
        <w:t>Projektowane postanowienia umowy w sprawie zamówienia publicznego, które zostaną wprowadzone do umowy w sprawie zamówienia publicznego.</w:t>
      </w:r>
    </w:p>
    <w:p>
      <w:pPr>
        <w:pStyle w:val="Normal"/>
        <w:spacing w:lineRule="auto" w:line="360"/>
        <w:jc w:val="both"/>
        <w:rPr>
          <w:rFonts w:ascii="Aptos" w:hAnsi="Aptos"/>
          <w:b w:val="false"/>
          <w:bCs w:val="false"/>
          <w:sz w:val="24"/>
          <w:szCs w:val="24"/>
          <w:highlight w:val="none"/>
          <w:shd w:fill="auto" w:val="clear"/>
        </w:rPr>
      </w:pPr>
      <w:r>
        <w:rPr>
          <w:rFonts w:ascii="Aptos" w:hAnsi="Aptos"/>
          <w:b w:val="false"/>
          <w:bCs w:val="false"/>
          <w:sz w:val="24"/>
          <w:szCs w:val="24"/>
          <w:shd w:fill="auto" w:val="clear"/>
        </w:rPr>
      </w:r>
    </w:p>
    <w:p>
      <w:pPr>
        <w:pStyle w:val="Normal"/>
        <w:spacing w:lineRule="auto" w:line="360"/>
        <w:jc w:val="both"/>
        <w:rPr>
          <w:rFonts w:ascii="Aptos" w:hAnsi="Aptos"/>
        </w:rPr>
      </w:pPr>
      <w:r>
        <w:rPr>
          <w:rFonts w:ascii="Aptos" w:hAnsi="Aptos"/>
          <w:b w:val="false"/>
          <w:bCs w:val="false"/>
        </w:rPr>
        <w:t xml:space="preserve">Projektowane postanowienia umowy stanowią </w:t>
      </w:r>
      <w:r>
        <w:rPr>
          <w:rFonts w:ascii="Aptos" w:hAnsi="Aptos"/>
          <w:b/>
          <w:bCs/>
        </w:rPr>
        <w:t>załącznik nr 1</w:t>
      </w:r>
      <w:r>
        <w:rPr>
          <w:rFonts w:ascii="Aptos" w:hAnsi="Aptos"/>
          <w:b w:val="false"/>
          <w:bCs w:val="false"/>
        </w:rPr>
        <w:t xml:space="preserve"> do niniejszej SWZ</w:t>
      </w:r>
    </w:p>
    <w:p>
      <w:pPr>
        <w:pStyle w:val="Normal"/>
        <w:spacing w:lineRule="auto" w:line="360"/>
        <w:jc w:val="both"/>
        <w:rPr>
          <w:rFonts w:ascii="Aptos" w:hAnsi="Aptos"/>
          <w:b/>
          <w:bCs/>
          <w:sz w:val="24"/>
          <w:szCs w:val="24"/>
          <w:highlight w:val="none"/>
          <w:shd w:fill="auto" w:val="clear"/>
        </w:rPr>
      </w:pPr>
      <w:r>
        <w:rPr>
          <w:rFonts w:ascii="Aptos" w:hAnsi="Aptos"/>
          <w:b/>
          <w:bCs/>
          <w:sz w:val="24"/>
          <w:szCs w:val="24"/>
          <w:shd w:fill="auto" w:val="clear"/>
        </w:rPr>
      </w:r>
    </w:p>
    <w:p>
      <w:pPr>
        <w:pStyle w:val="Normal"/>
        <w:numPr>
          <w:ilvl w:val="0"/>
          <w:numId w:val="3"/>
        </w:numPr>
        <w:spacing w:lineRule="auto" w:line="360"/>
        <w:jc w:val="both"/>
        <w:rPr>
          <w:rFonts w:ascii="Aptos" w:hAnsi="Aptos"/>
        </w:rPr>
      </w:pPr>
      <w:r>
        <w:rPr>
          <w:rFonts w:ascii="Aptos" w:hAnsi="Aptos"/>
          <w:b/>
          <w:bCs/>
          <w:sz w:val="24"/>
          <w:szCs w:val="24"/>
          <w:shd w:fill="auto" w:val="clear"/>
        </w:rPr>
        <w:t>Pouczenie o środkach ochrony prawnej przysługujących wykonawcy.</w:t>
      </w:r>
    </w:p>
    <w:p>
      <w:pPr>
        <w:pStyle w:val="Normal"/>
        <w:spacing w:lineRule="auto" w:line="360"/>
        <w:jc w:val="both"/>
        <w:rPr>
          <w:rFonts w:ascii="Aptos" w:hAnsi="Aptos"/>
          <w:sz w:val="24"/>
          <w:szCs w:val="24"/>
          <w:highlight w:val="none"/>
          <w:shd w:fill="auto" w:val="clear"/>
        </w:rPr>
      </w:pPr>
      <w:r>
        <w:rPr>
          <w:rFonts w:ascii="Aptos" w:hAnsi="Aptos"/>
          <w:sz w:val="24"/>
          <w:szCs w:val="24"/>
          <w:shd w:fill="auto" w:val="clear"/>
        </w:rPr>
      </w:r>
    </w:p>
    <w:p>
      <w:pPr>
        <w:pStyle w:val="Normal"/>
        <w:numPr>
          <w:ilvl w:val="3"/>
          <w:numId w:val="20"/>
        </w:numPr>
        <w:tabs>
          <w:tab w:val="clear" w:pos="720"/>
          <w:tab w:val="left" w:pos="800" w:leader="none"/>
        </w:tabs>
        <w:spacing w:lineRule="auto" w:line="360" w:before="0" w:after="0"/>
        <w:ind w:hanging="400" w:left="400"/>
        <w:jc w:val="both"/>
        <w:rPr>
          <w:rFonts w:ascii="Aptos" w:hAnsi="Aptos"/>
        </w:rPr>
      </w:pPr>
      <w:r>
        <w:rPr>
          <w:rFonts w:cs="Calibri" w:ascii="Aptos" w:hAnsi="Aptos"/>
        </w:rPr>
        <w:t xml:space="preserve">Środki ochrony prawnej – określone w dziale IX Pzp - przysługują wykonawcy, oraz innemu podmiotowi, jeżeli ma lub miał interes w uzyskaniu zamówienia oraz poniósł lub może ponieść szkodę w wyniku naruszenia przez zamawiającego przepisów Pzp. </w:t>
      </w:r>
    </w:p>
    <w:p>
      <w:pPr>
        <w:pStyle w:val="Normal"/>
        <w:numPr>
          <w:ilvl w:val="3"/>
          <w:numId w:val="20"/>
        </w:numPr>
        <w:tabs>
          <w:tab w:val="clear" w:pos="720"/>
          <w:tab w:val="left" w:pos="800" w:leader="none"/>
        </w:tabs>
        <w:spacing w:lineRule="auto" w:line="360" w:before="0" w:after="0"/>
        <w:ind w:hanging="400" w:left="400"/>
        <w:jc w:val="both"/>
        <w:rPr>
          <w:rFonts w:ascii="Aptos" w:hAnsi="Aptos"/>
        </w:rPr>
      </w:pPr>
      <w:r>
        <w:rPr>
          <w:rFonts w:cs="Calibri" w:ascii="Aptos" w:hAnsi="Aptos"/>
        </w:rPr>
        <w:t>Odwołanie przysługuje na:</w:t>
      </w:r>
    </w:p>
    <w:p>
      <w:pPr>
        <w:pStyle w:val="Normal"/>
        <w:numPr>
          <w:ilvl w:val="0"/>
          <w:numId w:val="21"/>
        </w:numPr>
        <w:tabs>
          <w:tab w:val="clear" w:pos="720"/>
          <w:tab w:val="left" w:pos="400" w:leader="none"/>
        </w:tabs>
        <w:spacing w:lineRule="auto" w:line="360" w:before="0" w:after="0"/>
        <w:jc w:val="both"/>
        <w:rPr>
          <w:rFonts w:ascii="Aptos" w:hAnsi="Aptos"/>
        </w:rPr>
      </w:pPr>
      <w:r>
        <w:rPr>
          <w:rFonts w:cs="Calibri" w:ascii="Aptos" w:hAnsi="Aptos"/>
        </w:rPr>
        <w:t>niezgodną z przepisami ustawy czynność zamawiającego, podjętą w postępowaniu o udzielenie zamówienia, w tym na projektowane postanowienie umowy;</w:t>
      </w:r>
    </w:p>
    <w:p>
      <w:pPr>
        <w:pStyle w:val="Normal"/>
        <w:numPr>
          <w:ilvl w:val="0"/>
          <w:numId w:val="21"/>
        </w:numPr>
        <w:tabs>
          <w:tab w:val="clear" w:pos="720"/>
          <w:tab w:val="left" w:pos="400" w:leader="none"/>
        </w:tabs>
        <w:spacing w:lineRule="auto" w:line="360" w:before="0" w:after="0"/>
        <w:jc w:val="both"/>
        <w:rPr>
          <w:rFonts w:ascii="Aptos" w:hAnsi="Aptos"/>
        </w:rPr>
      </w:pPr>
      <w:r>
        <w:rPr>
          <w:rFonts w:cs="Calibri" w:ascii="Aptos" w:hAnsi="Aptos"/>
        </w:rPr>
        <w:t>zaniechanie czynności w postępowaniu o udzielenie zamówienia do której zamawiający był obowiązany na podstawie ustawy;</w:t>
      </w:r>
    </w:p>
    <w:p>
      <w:pPr>
        <w:pStyle w:val="Normal"/>
        <w:numPr>
          <w:ilvl w:val="3"/>
          <w:numId w:val="20"/>
        </w:numPr>
        <w:tabs>
          <w:tab w:val="clear" w:pos="720"/>
          <w:tab w:val="left" w:pos="800" w:leader="none"/>
        </w:tabs>
        <w:spacing w:lineRule="auto" w:line="360" w:before="0" w:after="0"/>
        <w:ind w:hanging="400" w:left="400"/>
        <w:jc w:val="both"/>
        <w:rPr>
          <w:rFonts w:ascii="Aptos" w:hAnsi="Aptos"/>
        </w:rPr>
      </w:pPr>
      <w:r>
        <w:rPr>
          <w:rFonts w:cs="Calibri" w:ascii="Aptos" w:hAnsi="Aptos"/>
        </w:rPr>
        <w:t>Odwołanie wnosi się do Prezesa Krajowej Izby Odwoławczej.</w:t>
      </w:r>
    </w:p>
    <w:p>
      <w:pPr>
        <w:pStyle w:val="Normal"/>
        <w:numPr>
          <w:ilvl w:val="3"/>
          <w:numId w:val="20"/>
        </w:numPr>
        <w:tabs>
          <w:tab w:val="clear" w:pos="720"/>
          <w:tab w:val="left" w:pos="800" w:leader="none"/>
        </w:tabs>
        <w:spacing w:lineRule="auto" w:line="360" w:before="0" w:after="0"/>
        <w:ind w:hanging="400" w:left="400"/>
        <w:jc w:val="both"/>
        <w:rPr>
          <w:rFonts w:ascii="Aptos" w:hAnsi="Aptos"/>
        </w:rPr>
      </w:pPr>
      <w:r>
        <w:rPr>
          <w:rFonts w:cs="Calibri" w:ascii="Aptos" w:hAnsi="Aptos"/>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pPr>
        <w:pStyle w:val="Normal"/>
        <w:numPr>
          <w:ilvl w:val="3"/>
          <w:numId w:val="20"/>
        </w:numPr>
        <w:tabs>
          <w:tab w:val="clear" w:pos="720"/>
          <w:tab w:val="left" w:pos="800" w:leader="none"/>
        </w:tabs>
        <w:spacing w:lineRule="auto" w:line="360" w:before="0" w:after="0"/>
        <w:ind w:hanging="400" w:left="400"/>
        <w:jc w:val="both"/>
        <w:rPr>
          <w:rFonts w:ascii="Aptos" w:hAnsi="Aptos"/>
        </w:rPr>
      </w:pPr>
      <w:r>
        <w:rPr>
          <w:rFonts w:cs="Calibri" w:ascii="Aptos" w:hAnsi="Aptos"/>
        </w:rPr>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pPr>
        <w:pStyle w:val="Normal"/>
        <w:numPr>
          <w:ilvl w:val="3"/>
          <w:numId w:val="20"/>
        </w:numPr>
        <w:tabs>
          <w:tab w:val="clear" w:pos="720"/>
          <w:tab w:val="left" w:pos="800" w:leader="none"/>
        </w:tabs>
        <w:spacing w:lineRule="auto" w:line="360" w:before="0" w:after="0"/>
        <w:ind w:hanging="400" w:left="400"/>
        <w:jc w:val="both"/>
        <w:rPr>
          <w:rFonts w:ascii="Aptos" w:hAnsi="Aptos"/>
        </w:rPr>
      </w:pPr>
      <w:r>
        <w:rPr>
          <w:rFonts w:cs="Calibri" w:ascii="Aptos" w:hAnsi="Aptos"/>
        </w:rPr>
        <w:t>Odwołanie wnosi się w terminie:</w:t>
      </w:r>
    </w:p>
    <w:p>
      <w:pPr>
        <w:pStyle w:val="Normal"/>
        <w:numPr>
          <w:ilvl w:val="0"/>
          <w:numId w:val="22"/>
        </w:numPr>
        <w:tabs>
          <w:tab w:val="clear" w:pos="720"/>
          <w:tab w:val="left" w:pos="400" w:leader="none"/>
        </w:tabs>
        <w:spacing w:lineRule="auto" w:line="360" w:before="0" w:after="0"/>
        <w:jc w:val="both"/>
        <w:rPr>
          <w:rFonts w:ascii="Aptos" w:hAnsi="Aptos"/>
        </w:rPr>
      </w:pPr>
      <w:r>
        <w:rPr>
          <w:rFonts w:cs="Calibri" w:ascii="Aptos" w:hAnsi="Aptos"/>
        </w:rPr>
        <w:t>5 dni od dnia przekazania informacji o czynności zamawiającego stanowiącej podstawę jego wniesienia, jeżeli informacja została przekazana przy użyciu środków komunikacji elektronicznej,</w:t>
      </w:r>
    </w:p>
    <w:p>
      <w:pPr>
        <w:pStyle w:val="Normal"/>
        <w:numPr>
          <w:ilvl w:val="0"/>
          <w:numId w:val="22"/>
        </w:numPr>
        <w:tabs>
          <w:tab w:val="clear" w:pos="720"/>
          <w:tab w:val="left" w:pos="400" w:leader="none"/>
        </w:tabs>
        <w:spacing w:lineRule="auto" w:line="360" w:before="0" w:after="0"/>
        <w:jc w:val="both"/>
        <w:rPr>
          <w:rFonts w:ascii="Aptos" w:hAnsi="Aptos"/>
        </w:rPr>
      </w:pPr>
      <w:r>
        <w:rPr>
          <w:rFonts w:cs="Calibri" w:ascii="Aptos" w:hAnsi="Aptos"/>
        </w:rPr>
        <w:t>10 dni od dnia przekazania informacji o czynności zamawiającego stanowiącej podstawę jego wniesienia, jeżeli informacja została przekazana w sposób inny niż określony powyżej.</w:t>
      </w:r>
    </w:p>
    <w:p>
      <w:pPr>
        <w:pStyle w:val="Normal"/>
        <w:numPr>
          <w:ilvl w:val="3"/>
          <w:numId w:val="20"/>
        </w:numPr>
        <w:tabs>
          <w:tab w:val="clear" w:pos="720"/>
          <w:tab w:val="left" w:pos="800" w:leader="none"/>
        </w:tabs>
        <w:spacing w:lineRule="auto" w:line="360" w:before="0" w:after="0"/>
        <w:ind w:hanging="400" w:left="400"/>
        <w:jc w:val="both"/>
        <w:rPr>
          <w:rFonts w:ascii="Aptos" w:hAnsi="Aptos"/>
        </w:rPr>
      </w:pPr>
      <w:r>
        <w:rPr>
          <w:rFonts w:cs="Calibri" w:ascii="Aptos" w:hAnsi="Aptos"/>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 w przypadku zamówień, których wartość jest mniejsza niż progi unijne.</w:t>
      </w:r>
    </w:p>
    <w:p>
      <w:pPr>
        <w:pStyle w:val="Normal"/>
        <w:numPr>
          <w:ilvl w:val="3"/>
          <w:numId w:val="20"/>
        </w:numPr>
        <w:tabs>
          <w:tab w:val="clear" w:pos="720"/>
          <w:tab w:val="left" w:pos="800" w:leader="none"/>
        </w:tabs>
        <w:spacing w:lineRule="auto" w:line="360" w:before="0" w:after="0"/>
        <w:ind w:hanging="400" w:left="400"/>
        <w:jc w:val="both"/>
        <w:rPr>
          <w:rFonts w:ascii="Aptos" w:hAnsi="Aptos"/>
        </w:rPr>
      </w:pPr>
      <w:r>
        <w:rPr>
          <w:rFonts w:cs="Calibri" w:ascii="Aptos" w:hAnsi="Aptos"/>
          <w:b w:val="false"/>
          <w:bCs w:val="false"/>
          <w:sz w:val="24"/>
          <w:szCs w:val="24"/>
          <w:shd w:fill="auto" w:val="clear"/>
        </w:rPr>
        <w:t>Odwołanie w przypadkach innych niż określone w ust. 6 i 7 wnosi się w terminie 5 dni od dnia, w którym powzięto lub przy zachowaniu należytej staranności można było powziąć wiadomość o okolicznościach stanowiących podstawę jego wniesienia.</w:t>
      </w:r>
    </w:p>
    <w:p>
      <w:pPr>
        <w:pStyle w:val="Normal"/>
        <w:widowControl/>
        <w:suppressAutoHyphens w:val="true"/>
        <w:bidi w:val="0"/>
        <w:spacing w:lineRule="auto" w:line="360" w:before="0" w:after="0"/>
        <w:ind w:hanging="340" w:left="340" w:right="0"/>
        <w:jc w:val="both"/>
        <w:rPr>
          <w:rFonts w:ascii="Aptos" w:hAnsi="Aptos"/>
          <w:sz w:val="24"/>
          <w:szCs w:val="24"/>
          <w:highlight w:val="none"/>
          <w:shd w:fill="auto" w:val="clear"/>
        </w:rPr>
      </w:pPr>
      <w:r>
        <w:rPr>
          <w:rFonts w:ascii="Aptos" w:hAnsi="Aptos"/>
          <w:sz w:val="24"/>
          <w:szCs w:val="24"/>
          <w:shd w:fill="auto" w:val="clear"/>
        </w:rPr>
      </w:r>
    </w:p>
    <w:p>
      <w:pPr>
        <w:pStyle w:val="Normal"/>
        <w:numPr>
          <w:ilvl w:val="0"/>
          <w:numId w:val="3"/>
        </w:numPr>
        <w:spacing w:lineRule="auto" w:line="360"/>
        <w:jc w:val="both"/>
        <w:rPr>
          <w:rFonts w:ascii="Aptos" w:hAnsi="Aptos"/>
        </w:rPr>
      </w:pPr>
      <w:r>
        <w:rPr>
          <w:rFonts w:ascii="Aptos" w:hAnsi="Aptos"/>
          <w:b/>
          <w:bCs/>
          <w:sz w:val="24"/>
          <w:szCs w:val="24"/>
          <w:shd w:fill="auto" w:val="clear"/>
        </w:rPr>
        <w:t>Podstawy wykluczenia, o których mowa w art. 109 ust. 1, jeżeli zamawiający je przewiduje.</w:t>
      </w:r>
    </w:p>
    <w:p>
      <w:pPr>
        <w:pStyle w:val="Normal"/>
        <w:spacing w:lineRule="auto" w:line="360"/>
        <w:jc w:val="both"/>
        <w:rPr>
          <w:rFonts w:ascii="Aptos" w:hAnsi="Aptos"/>
          <w:b w:val="false"/>
          <w:bCs w:val="false"/>
          <w:sz w:val="24"/>
          <w:szCs w:val="24"/>
          <w:shd w:fill="auto" w:val="clear"/>
        </w:rPr>
      </w:pPr>
      <w:r>
        <w:rPr>
          <w:rFonts w:ascii="Aptos" w:hAnsi="Aptos"/>
          <w:b w:val="false"/>
          <w:bCs w:val="false"/>
          <w:sz w:val="24"/>
          <w:szCs w:val="24"/>
          <w:shd w:fill="auto" w:val="clear"/>
        </w:rPr>
      </w:r>
    </w:p>
    <w:p>
      <w:pPr>
        <w:pStyle w:val="Normal"/>
        <w:widowControl/>
        <w:numPr>
          <w:ilvl w:val="0"/>
          <w:numId w:val="17"/>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Z postępowania o udzielenie zamówienia zamawiający wykluczy wykonawcę:</w:t>
      </w:r>
    </w:p>
    <w:p>
      <w:pPr>
        <w:pStyle w:val="Normal"/>
        <w:widowControl/>
        <w:numPr>
          <w:ilvl w:val="1"/>
          <w:numId w:val="17"/>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pPr>
        <w:pStyle w:val="Normal"/>
        <w:widowControl/>
        <w:numPr>
          <w:ilvl w:val="1"/>
          <w:numId w:val="17"/>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pPr>
        <w:pStyle w:val="Normal"/>
        <w:widowControl/>
        <w:numPr>
          <w:ilvl w:val="1"/>
          <w:numId w:val="17"/>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pPr>
        <w:pStyle w:val="Normal"/>
        <w:widowControl/>
        <w:numPr>
          <w:ilvl w:val="0"/>
          <w:numId w:val="17"/>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Jeżeli zamawiający przewiduje wykluczenie wykonawcy na podstawie ust. 1, wskazuje podstawy wykluczenia w ogłoszeniu o zamówieniu lub dokumentach zamówienia.</w:t>
      </w:r>
    </w:p>
    <w:p>
      <w:pPr>
        <w:pStyle w:val="Normal"/>
        <w:widowControl/>
        <w:numPr>
          <w:ilvl w:val="0"/>
          <w:numId w:val="17"/>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 xml:space="preserve">W przypadkach, o których mowa w ust. 1 pkt 2 lub 3, zamawiający może nie wykluczać wykonawcy, jeżeli wykluczenie byłoby w sposób oczywisty nieproporcjonalne, w szczególności gdy kwota zaległych podatków lub składek na ubezpieczenie społeczne jest niewielka albo sytuacja ekonomiczna lub finansowa wykonawcy, o którym mowa w ust. 1 pkt 1, jest wystarczająca do wykonania zamówienia. </w:t>
      </w:r>
    </w:p>
    <w:p>
      <w:pPr>
        <w:pStyle w:val="Normal"/>
        <w:widowControl/>
        <w:numPr>
          <w:ilvl w:val="0"/>
          <w:numId w:val="17"/>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Okresy wykluczenia oraz tzw. „self cleaning” opisane zostały w dziale VII niniejszej SWZ.</w:t>
      </w:r>
    </w:p>
    <w:p>
      <w:pPr>
        <w:pStyle w:val="Normal"/>
        <w:spacing w:lineRule="auto" w:line="360"/>
        <w:jc w:val="both"/>
        <w:rPr>
          <w:rFonts w:ascii="Aptos" w:hAnsi="Aptos"/>
          <w:b/>
          <w:bCs/>
          <w:sz w:val="24"/>
          <w:szCs w:val="24"/>
          <w:highlight w:val="none"/>
          <w:shd w:fill="auto" w:val="clear"/>
        </w:rPr>
      </w:pPr>
      <w:r>
        <w:rPr>
          <w:rFonts w:ascii="Aptos" w:hAnsi="Aptos"/>
          <w:b/>
          <w:bCs/>
          <w:sz w:val="24"/>
          <w:szCs w:val="24"/>
          <w:shd w:fill="auto" w:val="clear"/>
        </w:rPr>
      </w:r>
    </w:p>
    <w:p>
      <w:pPr>
        <w:pStyle w:val="Normal"/>
        <w:numPr>
          <w:ilvl w:val="0"/>
          <w:numId w:val="3"/>
        </w:numPr>
        <w:spacing w:lineRule="auto" w:line="360"/>
        <w:jc w:val="both"/>
        <w:rPr>
          <w:rFonts w:ascii="Aptos" w:hAnsi="Aptos"/>
        </w:rPr>
      </w:pPr>
      <w:r>
        <w:rPr>
          <w:rFonts w:eastAsia="NSimSun" w:cs="Arial" w:ascii="Aptos" w:hAnsi="Aptos"/>
          <w:b/>
          <w:bCs/>
          <w:color w:val="000000"/>
          <w:kern w:val="2"/>
          <w:sz w:val="24"/>
          <w:szCs w:val="24"/>
          <w:shd w:fill="auto" w:val="clear"/>
          <w:lang w:val="pl-PL" w:eastAsia="zh-CN" w:bidi="hi-IN"/>
        </w:rPr>
        <w:t>O</w:t>
      </w:r>
      <w:r>
        <w:rPr>
          <w:rFonts w:ascii="Aptos" w:hAnsi="Aptos"/>
          <w:b/>
          <w:bCs/>
          <w:sz w:val="24"/>
          <w:szCs w:val="24"/>
          <w:shd w:fill="auto" w:val="clear"/>
        </w:rPr>
        <w:t>pis części zamówienia, jeżeli zamawiający dopuszcza składanie ofert częściowych.</w:t>
      </w:r>
    </w:p>
    <w:p>
      <w:pPr>
        <w:pStyle w:val="Normal"/>
        <w:bidi w:val="0"/>
        <w:spacing w:lineRule="auto" w:line="360"/>
        <w:jc w:val="both"/>
        <w:rPr>
          <w:b w:val="false"/>
          <w:bCs w:val="false"/>
          <w:sz w:val="24"/>
          <w:szCs w:val="24"/>
          <w:shd w:fill="auto" w:val="clear"/>
        </w:rPr>
      </w:pPr>
      <w:r>
        <w:rPr>
          <w:b w:val="false"/>
          <w:bCs w:val="false"/>
          <w:sz w:val="24"/>
          <w:szCs w:val="24"/>
          <w:shd w:fill="auto" w:val="clear"/>
        </w:rPr>
      </w:r>
    </w:p>
    <w:p>
      <w:pPr>
        <w:pStyle w:val="Normal"/>
        <w:bidi w:val="0"/>
        <w:spacing w:lineRule="auto" w:line="360"/>
        <w:jc w:val="both"/>
        <w:rPr>
          <w:rFonts w:ascii="Aptos" w:hAnsi="Aptos"/>
        </w:rPr>
      </w:pPr>
      <w:r>
        <w:rPr>
          <w:rFonts w:ascii="Aptos" w:hAnsi="Aptos"/>
          <w:b w:val="false"/>
          <w:bCs w:val="false"/>
          <w:sz w:val="24"/>
          <w:szCs w:val="24"/>
          <w:shd w:fill="auto" w:val="clear"/>
        </w:rPr>
        <w:t>Zamawiający dopuszcza możliwość składania ofert częściowych. Opis poszczególnych części zamówienia znajduje się w dziale IV niniejszej SWZ.</w:t>
      </w:r>
    </w:p>
    <w:p>
      <w:pPr>
        <w:pStyle w:val="Normal"/>
        <w:spacing w:lineRule="auto" w:line="360"/>
        <w:jc w:val="both"/>
        <w:rPr>
          <w:rFonts w:ascii="Aptos" w:hAnsi="Aptos"/>
          <w:b w:val="false"/>
          <w:bCs w:val="false"/>
          <w:sz w:val="24"/>
          <w:szCs w:val="24"/>
          <w:highlight w:val="none"/>
          <w:shd w:fill="auto" w:val="clear"/>
        </w:rPr>
      </w:pPr>
      <w:r>
        <w:rPr>
          <w:rFonts w:ascii="Aptos" w:hAnsi="Aptos"/>
          <w:b w:val="false"/>
          <w:bCs w:val="false"/>
          <w:sz w:val="24"/>
          <w:szCs w:val="24"/>
          <w:shd w:fill="auto" w:val="clear"/>
        </w:rPr>
      </w:r>
    </w:p>
    <w:p>
      <w:pPr>
        <w:pStyle w:val="Normal"/>
        <w:numPr>
          <w:ilvl w:val="0"/>
          <w:numId w:val="3"/>
        </w:numPr>
        <w:spacing w:lineRule="auto" w:line="360"/>
        <w:jc w:val="both"/>
        <w:rPr>
          <w:rFonts w:ascii="Aptos" w:hAnsi="Aptos"/>
        </w:rPr>
      </w:pPr>
      <w:r>
        <w:rPr>
          <w:rFonts w:ascii="Aptos" w:hAnsi="Aptos"/>
          <w:b/>
          <w:bCs/>
          <w:sz w:val="24"/>
          <w:szCs w:val="24"/>
          <w:shd w:fill="auto" w:val="clear"/>
        </w:rPr>
        <w:t>Liczba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pPr>
        <w:pStyle w:val="Normal"/>
        <w:bidi w:val="0"/>
        <w:spacing w:lineRule="auto" w:line="360"/>
        <w:jc w:val="both"/>
        <w:rPr>
          <w:b w:val="false"/>
          <w:bCs w:val="false"/>
          <w:sz w:val="24"/>
          <w:szCs w:val="24"/>
          <w:shd w:fill="auto" w:val="clear"/>
        </w:rPr>
      </w:pPr>
      <w:r>
        <w:rPr>
          <w:b w:val="false"/>
          <w:bCs w:val="false"/>
          <w:sz w:val="24"/>
          <w:szCs w:val="24"/>
          <w:shd w:fill="auto" w:val="clear"/>
        </w:rPr>
      </w:r>
    </w:p>
    <w:p>
      <w:pPr>
        <w:pStyle w:val="Normal"/>
        <w:bidi w:val="0"/>
        <w:spacing w:lineRule="auto" w:line="360"/>
        <w:jc w:val="both"/>
        <w:rPr>
          <w:rFonts w:ascii="Aptos" w:hAnsi="Aptos"/>
        </w:rPr>
      </w:pPr>
      <w:r>
        <w:rPr>
          <w:rFonts w:ascii="Aptos" w:hAnsi="Aptos"/>
          <w:b w:val="false"/>
          <w:bCs w:val="false"/>
          <w:sz w:val="24"/>
          <w:szCs w:val="24"/>
          <w:shd w:fill="auto" w:val="clear"/>
        </w:rPr>
        <w:t>Wykonawca może złożyć ofertę na jedną lub więcej części zamówienia. Zamówienie może zostać udzielone temu samemu wykonawcy na jedną lub więcej części zamówienia.</w:t>
      </w:r>
    </w:p>
    <w:p>
      <w:pPr>
        <w:pStyle w:val="Normal"/>
        <w:spacing w:lineRule="auto" w:line="360"/>
        <w:jc w:val="both"/>
        <w:rPr>
          <w:rFonts w:ascii="Aptos" w:hAnsi="Aptos"/>
          <w:b/>
          <w:bCs/>
          <w:sz w:val="24"/>
          <w:szCs w:val="24"/>
          <w:highlight w:val="none"/>
          <w:shd w:fill="auto" w:val="clear"/>
        </w:rPr>
      </w:pPr>
      <w:r>
        <w:rPr>
          <w:rFonts w:ascii="Aptos" w:hAnsi="Aptos"/>
          <w:b/>
          <w:bCs/>
          <w:sz w:val="24"/>
          <w:szCs w:val="24"/>
          <w:shd w:fill="auto" w:val="clear"/>
        </w:rPr>
      </w:r>
    </w:p>
    <w:p>
      <w:pPr>
        <w:pStyle w:val="Normal"/>
        <w:numPr>
          <w:ilvl w:val="0"/>
          <w:numId w:val="3"/>
        </w:numPr>
        <w:spacing w:lineRule="auto" w:line="360"/>
        <w:jc w:val="both"/>
        <w:rPr>
          <w:rFonts w:ascii="Aptos" w:hAnsi="Aptos"/>
        </w:rPr>
      </w:pPr>
      <w:r>
        <w:rPr>
          <w:rFonts w:ascii="Aptos" w:hAnsi="Aptos"/>
          <w:b/>
          <w:bCs/>
          <w:sz w:val="24"/>
          <w:szCs w:val="24"/>
          <w:shd w:fill="auto" w:val="clear"/>
        </w:rPr>
        <w:t>Wymagania dotyczące wadium, jeżeli zamawiający przewiduje obowiązek wniesienia wadium</w:t>
      </w:r>
    </w:p>
    <w:p>
      <w:pPr>
        <w:pStyle w:val="Normal"/>
        <w:spacing w:lineRule="auto" w:line="360"/>
        <w:jc w:val="both"/>
        <w:rPr>
          <w:rFonts w:ascii="Aptos" w:hAnsi="Aptos"/>
          <w:b w:val="false"/>
          <w:bCs w:val="false"/>
          <w:sz w:val="24"/>
          <w:szCs w:val="24"/>
          <w:highlight w:val="none"/>
          <w:shd w:fill="auto" w:val="clear"/>
        </w:rPr>
      </w:pPr>
      <w:r>
        <w:rPr>
          <w:rFonts w:ascii="Aptos" w:hAnsi="Aptos"/>
          <w:b w:val="false"/>
          <w:bCs w:val="false"/>
          <w:sz w:val="24"/>
          <w:szCs w:val="24"/>
          <w:shd w:fill="auto" w:val="clear"/>
        </w:rPr>
      </w:r>
    </w:p>
    <w:p>
      <w:pPr>
        <w:pStyle w:val="Normal"/>
        <w:widowControl/>
        <w:numPr>
          <w:ilvl w:val="0"/>
          <w:numId w:val="24"/>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Każda oferta musi być zabezpieczona wadium w wysokości:</w:t>
      </w:r>
    </w:p>
    <w:p>
      <w:pPr>
        <w:pStyle w:val="Normal"/>
        <w:widowControl/>
        <w:numPr>
          <w:ilvl w:val="1"/>
          <w:numId w:val="24"/>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Część nr 1 - 2 000,00 złotych (słownie: dwa tysiące złotych).</w:t>
      </w:r>
    </w:p>
    <w:p>
      <w:pPr>
        <w:pStyle w:val="Normal"/>
        <w:widowControl/>
        <w:numPr>
          <w:ilvl w:val="1"/>
          <w:numId w:val="24"/>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Część nr 2 - 2 200,00 złotych (słownie: dwa tysiące dwieście złotych).</w:t>
      </w:r>
    </w:p>
    <w:p>
      <w:pPr>
        <w:pStyle w:val="Normal"/>
        <w:widowControl/>
        <w:numPr>
          <w:ilvl w:val="0"/>
          <w:numId w:val="24"/>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Wadium wnosi się przed upływem terminu składania ofert i utrzymuje nieprzerwanie do dnia upływu terminu związania ofertą, z wyjątkiem przypadków, o których mowa w art. 98 ust. 1 pkt 2 i 3 oraz ust. 2 Pzp.</w:t>
      </w:r>
    </w:p>
    <w:p>
      <w:pPr>
        <w:pStyle w:val="Normal"/>
        <w:widowControl/>
        <w:numPr>
          <w:ilvl w:val="0"/>
          <w:numId w:val="24"/>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Wadium może być wniesione według wyboru Wykonawcy w jednej lub kilku następujących formach:</w:t>
      </w:r>
    </w:p>
    <w:p>
      <w:pPr>
        <w:pStyle w:val="Normal"/>
        <w:widowControl/>
        <w:numPr>
          <w:ilvl w:val="1"/>
          <w:numId w:val="24"/>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pieniądzu,</w:t>
      </w:r>
    </w:p>
    <w:p>
      <w:pPr>
        <w:pStyle w:val="Normal"/>
        <w:widowControl/>
        <w:numPr>
          <w:ilvl w:val="1"/>
          <w:numId w:val="24"/>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gwarancjach ubezpieczeniowych,</w:t>
      </w:r>
    </w:p>
    <w:p>
      <w:pPr>
        <w:pStyle w:val="Normal"/>
        <w:widowControl/>
        <w:numPr>
          <w:ilvl w:val="1"/>
          <w:numId w:val="24"/>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gwarancjach bankowych,</w:t>
      </w:r>
    </w:p>
    <w:p>
      <w:pPr>
        <w:pStyle w:val="Normal"/>
        <w:widowControl/>
        <w:numPr>
          <w:ilvl w:val="1"/>
          <w:numId w:val="24"/>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poręczeniach udzielanych przez podmioty, o których mowa w art. 6b ust. 5 pkt. 2 ustawy z dnia 9 listopada 2000 r. o utworzeniu Polskiej Agencji Rozwoju Przedsiębiorczości;</w:t>
      </w:r>
    </w:p>
    <w:p>
      <w:pPr>
        <w:pStyle w:val="Normal"/>
        <w:widowControl/>
        <w:numPr>
          <w:ilvl w:val="0"/>
          <w:numId w:val="24"/>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Wadium wnoszone w pieniądzu wpłaca się przelewem, na konto Zamawiającego: 19 1910 1048 4400 4026 1131 0004, Santander Bank Polska S.A., ul. Krakowskie Przedmieście 87, 32-087 Zielonki wskazując jako tytuł: „DK.271.9.2024 – wadium”.</w:t>
      </w:r>
    </w:p>
    <w:p>
      <w:pPr>
        <w:pStyle w:val="Normal"/>
        <w:widowControl/>
        <w:numPr>
          <w:ilvl w:val="0"/>
          <w:numId w:val="24"/>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Jeżeli wadium jest wnoszone w formie gwarancji lub poręczenia, o których mowa w ust. 3 pkt 3 do 4, wykonawca przekazuje zamawiającemu oryginał gwarancji lub poręczenia, w postaci elektronicznej.</w:t>
      </w:r>
    </w:p>
    <w:p>
      <w:pPr>
        <w:pStyle w:val="Normal"/>
        <w:widowControl/>
        <w:numPr>
          <w:ilvl w:val="0"/>
          <w:numId w:val="24"/>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Zamawiający zwraca wadium niezwłocznie, nie później jednak niż w terminie 7 dni od dnia wystąpienia jednej z okoliczności:</w:t>
      </w:r>
    </w:p>
    <w:p>
      <w:pPr>
        <w:pStyle w:val="Normal"/>
        <w:widowControl/>
        <w:numPr>
          <w:ilvl w:val="1"/>
          <w:numId w:val="24"/>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upływu terminu związania ofertą;</w:t>
      </w:r>
    </w:p>
    <w:p>
      <w:pPr>
        <w:pStyle w:val="Normal"/>
        <w:widowControl/>
        <w:numPr>
          <w:ilvl w:val="1"/>
          <w:numId w:val="24"/>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zawarcia umowy w sprawie zamówienia publicznego;</w:t>
      </w:r>
    </w:p>
    <w:p>
      <w:pPr>
        <w:pStyle w:val="Normal"/>
        <w:widowControl/>
        <w:numPr>
          <w:ilvl w:val="1"/>
          <w:numId w:val="24"/>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unieważnienia postępowania o udzielenie zamówienia, z wyjątkiem sytuacji, gdy nie zostało rozstrzygnięte odwołanie na czynność unieważnienia albo nie upłynął termin do jego wniesienia.</w:t>
      </w:r>
    </w:p>
    <w:p>
      <w:pPr>
        <w:pStyle w:val="Normal"/>
        <w:widowControl/>
        <w:numPr>
          <w:ilvl w:val="0"/>
          <w:numId w:val="24"/>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Zamawiający, niezwłocznie, nie później jednak niż w terminie 7 dni od dnia złożenia wniosku zwraca wadium wykonawcy:</w:t>
      </w:r>
    </w:p>
    <w:p>
      <w:pPr>
        <w:pStyle w:val="Normal"/>
        <w:widowControl/>
        <w:numPr>
          <w:ilvl w:val="1"/>
          <w:numId w:val="24"/>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który wycofał ofertę przed upływem terminu składania ofert;</w:t>
      </w:r>
    </w:p>
    <w:p>
      <w:pPr>
        <w:pStyle w:val="Normal"/>
        <w:widowControl/>
        <w:numPr>
          <w:ilvl w:val="1"/>
          <w:numId w:val="24"/>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którego oferta została odrzucona;</w:t>
      </w:r>
    </w:p>
    <w:p>
      <w:pPr>
        <w:pStyle w:val="Normal"/>
        <w:widowControl/>
        <w:numPr>
          <w:ilvl w:val="1"/>
          <w:numId w:val="24"/>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po wyborze najkorzystniejszej oferty, z wyjątkiem wykonawcy, którego oferta została wybrana jako najkorzystniejsza;</w:t>
      </w:r>
    </w:p>
    <w:p>
      <w:pPr>
        <w:pStyle w:val="Normal"/>
        <w:widowControl/>
        <w:numPr>
          <w:ilvl w:val="1"/>
          <w:numId w:val="24"/>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po unieważnieniu postępowania, w przypadku, gdy nie zostało rozstrzygnięte odwołanie na czynność unieważnienia albo nie upłynął termin do jego wniesienia.</w:t>
      </w:r>
    </w:p>
    <w:p>
      <w:pPr>
        <w:pStyle w:val="Normal"/>
        <w:widowControl/>
        <w:numPr>
          <w:ilvl w:val="0"/>
          <w:numId w:val="24"/>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Złożenie wniosku o zwrot wadium, o którym mowa w ust. 7, powoduje rozwiązanie stosunku prawnego z wykonawcą wraz z utratą przez niego prawa do korzystania ze środków ochrony prawnej, o których mowa w dziale IX Pzp.</w:t>
      </w:r>
    </w:p>
    <w:p>
      <w:pPr>
        <w:pStyle w:val="Normal"/>
        <w:widowControl/>
        <w:numPr>
          <w:ilvl w:val="0"/>
          <w:numId w:val="24"/>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Zamawiający zwraca wadium wniesione w pieniądzu wraz z odsetkami wynikającymi z umowy rachunku bankowego, na którym było ono przechowywane, pomniejszone o koszty prowadzenia rachunku bankowego oraz prowizji bankowej za przelew pieniędzy na rachunek bankowy wskazany przez wykonawcę.</w:t>
      </w:r>
    </w:p>
    <w:p>
      <w:pPr>
        <w:pStyle w:val="Normal"/>
        <w:widowControl/>
        <w:numPr>
          <w:ilvl w:val="0"/>
          <w:numId w:val="24"/>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Zamawiający zwraca wadium wniesione w innej formie niż w pieniądzu poprzez złożenie gwarantowi lub poręczycielowi oświadczenia o zwolnieniu wadium.</w:t>
      </w:r>
    </w:p>
    <w:p>
      <w:pPr>
        <w:pStyle w:val="Normal"/>
        <w:widowControl/>
        <w:numPr>
          <w:ilvl w:val="0"/>
          <w:numId w:val="24"/>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Zamawiający zatrzymuje wadium wraz z odsetkami, a w przypadku wadium wniesionego w formie gwarancji lub poręczenia, o których mowa w art. 97 ust. 7 pkt 2-4 Pzp, występuje odpowiednio do gwaranta lub poręczyciela z żądaniem zapłaty wadium, jeżeli:</w:t>
      </w:r>
    </w:p>
    <w:p>
      <w:pPr>
        <w:pStyle w:val="Normal"/>
        <w:widowControl/>
        <w:numPr>
          <w:ilvl w:val="0"/>
          <w:numId w:val="25"/>
        </w:numPr>
        <w:suppressAutoHyphens w:val="true"/>
        <w:bidi w:val="0"/>
        <w:spacing w:lineRule="auto" w:line="360" w:before="0" w:after="0"/>
        <w:jc w:val="both"/>
        <w:rPr>
          <w:rFonts w:ascii="Aptos" w:hAnsi="Aptos"/>
        </w:rPr>
      </w:pPr>
      <w:r>
        <w:rPr>
          <w:rFonts w:ascii="Aptos" w:hAnsi="Aptos"/>
          <w:b w:val="false"/>
          <w:bCs w:val="false"/>
          <w:sz w:val="24"/>
          <w:szCs w:val="24"/>
          <w:shd w:fill="auto" w:val="clear"/>
        </w:rPr>
        <w:t>wykonawca w odpowiedzi na wezwanie, o którym mowa w art. 107 ust. 2 Pzp lub art. 128 ust. 1 Pzp, z przyczyn leżących po jego stronie, nie złożył podmiotowych środków dowodowych lub przedmiotowych środków dowodowych potwierdzających okoliczności, o których mowa w art. 57 Pzp lub art. 106 ust. 1 Pzp, oświadczenia, o którym mowa w art. 125 ust. 1 Pzp, innych dokumentów lub oświadczeń lub nie wyraził zgody na poprawienie omyłki, o której mowa w art. 223 ust. 2 pkt 3 Pzp, co spowodowało brak możliwości wybrania oferty złożonej przez wykonawcę jako najkorzystniejszej;</w:t>
      </w:r>
    </w:p>
    <w:p>
      <w:pPr>
        <w:pStyle w:val="Normal"/>
        <w:widowControl/>
        <w:numPr>
          <w:ilvl w:val="0"/>
          <w:numId w:val="25"/>
        </w:numPr>
        <w:suppressAutoHyphens w:val="true"/>
        <w:bidi w:val="0"/>
        <w:spacing w:lineRule="auto" w:line="360" w:before="0" w:after="0"/>
        <w:jc w:val="both"/>
        <w:rPr>
          <w:rFonts w:ascii="Aptos" w:hAnsi="Aptos"/>
        </w:rPr>
      </w:pPr>
      <w:r>
        <w:rPr>
          <w:rFonts w:ascii="Aptos" w:hAnsi="Aptos"/>
          <w:b w:val="false"/>
          <w:bCs w:val="false"/>
          <w:sz w:val="24"/>
          <w:szCs w:val="24"/>
          <w:shd w:fill="auto" w:val="clear"/>
        </w:rPr>
        <w:t>wykonawca, którego oferta została wybrana:</w:t>
      </w:r>
    </w:p>
    <w:p>
      <w:pPr>
        <w:pStyle w:val="Normal"/>
        <w:widowControl/>
        <w:numPr>
          <w:ilvl w:val="1"/>
          <w:numId w:val="25"/>
        </w:numPr>
        <w:suppressAutoHyphens w:val="true"/>
        <w:bidi w:val="0"/>
        <w:spacing w:lineRule="auto" w:line="360" w:before="0" w:after="0"/>
        <w:jc w:val="both"/>
        <w:rPr>
          <w:rFonts w:ascii="Aptos" w:hAnsi="Aptos"/>
        </w:rPr>
      </w:pPr>
      <w:r>
        <w:rPr>
          <w:rFonts w:ascii="Aptos" w:hAnsi="Aptos"/>
          <w:b w:val="false"/>
          <w:bCs w:val="false"/>
          <w:sz w:val="24"/>
          <w:szCs w:val="24"/>
          <w:shd w:fill="auto" w:val="clear"/>
        </w:rPr>
        <w:t>odmówił podpisania umowy w sprawie zamówienia publicznego na warunkach określonych w ofercie,</w:t>
      </w:r>
    </w:p>
    <w:p>
      <w:pPr>
        <w:pStyle w:val="Normal"/>
        <w:widowControl/>
        <w:numPr>
          <w:ilvl w:val="1"/>
          <w:numId w:val="25"/>
        </w:numPr>
        <w:suppressAutoHyphens w:val="true"/>
        <w:bidi w:val="0"/>
        <w:spacing w:lineRule="auto" w:line="360" w:before="0" w:after="0"/>
        <w:jc w:val="both"/>
        <w:rPr>
          <w:rFonts w:ascii="Aptos" w:hAnsi="Aptos"/>
        </w:rPr>
      </w:pPr>
      <w:r>
        <w:rPr>
          <w:rFonts w:ascii="Aptos" w:hAnsi="Aptos"/>
          <w:b w:val="false"/>
          <w:bCs w:val="false"/>
          <w:sz w:val="24"/>
          <w:szCs w:val="24"/>
          <w:shd w:fill="auto" w:val="clear"/>
        </w:rPr>
        <w:t>nie wniósł wymaganego zabezpieczenia należytego wykonania umowy;</w:t>
      </w:r>
    </w:p>
    <w:p>
      <w:pPr>
        <w:pStyle w:val="Normal"/>
        <w:widowControl/>
        <w:numPr>
          <w:ilvl w:val="0"/>
          <w:numId w:val="25"/>
        </w:numPr>
        <w:suppressAutoHyphens w:val="true"/>
        <w:bidi w:val="0"/>
        <w:spacing w:lineRule="auto" w:line="360" w:before="0" w:after="0"/>
        <w:jc w:val="both"/>
        <w:rPr>
          <w:rFonts w:ascii="Aptos" w:hAnsi="Aptos"/>
        </w:rPr>
      </w:pPr>
      <w:r>
        <w:rPr>
          <w:rFonts w:ascii="Aptos" w:hAnsi="Aptos"/>
          <w:b w:val="false"/>
          <w:bCs w:val="false"/>
          <w:sz w:val="24"/>
          <w:szCs w:val="24"/>
          <w:shd w:fill="auto" w:val="clear"/>
        </w:rPr>
        <w:t>zawarcie umowy w sprawie zamówienia publicznego stało się niemożliwe z przyczyn leżących po stronie wykonawcy, którego oferta została wybrana.</w:t>
      </w:r>
    </w:p>
    <w:p>
      <w:pPr>
        <w:pStyle w:val="Normal"/>
        <w:spacing w:lineRule="auto" w:line="360"/>
        <w:jc w:val="both"/>
        <w:rPr>
          <w:rFonts w:ascii="Aptos" w:hAnsi="Aptos"/>
          <w:b w:val="false"/>
          <w:bCs w:val="false"/>
          <w:sz w:val="24"/>
          <w:szCs w:val="24"/>
          <w:highlight w:val="none"/>
          <w:shd w:fill="auto" w:val="clear"/>
        </w:rPr>
      </w:pPr>
      <w:r>
        <w:rPr>
          <w:rFonts w:ascii="Aptos" w:hAnsi="Aptos"/>
          <w:b w:val="false"/>
          <w:bCs w:val="false"/>
          <w:sz w:val="24"/>
          <w:szCs w:val="24"/>
          <w:shd w:fill="auto" w:val="clear"/>
        </w:rPr>
      </w:r>
    </w:p>
    <w:p>
      <w:pPr>
        <w:pStyle w:val="Normal"/>
        <w:numPr>
          <w:ilvl w:val="0"/>
          <w:numId w:val="3"/>
        </w:numPr>
        <w:spacing w:lineRule="auto" w:line="360"/>
        <w:jc w:val="both"/>
        <w:rPr>
          <w:rFonts w:ascii="Aptos" w:hAnsi="Aptos"/>
        </w:rPr>
      </w:pPr>
      <w:r>
        <w:rPr>
          <w:rFonts w:ascii="Aptos" w:hAnsi="Aptos"/>
          <w:b/>
          <w:bCs/>
          <w:sz w:val="24"/>
          <w:szCs w:val="24"/>
          <w:shd w:fill="auto" w:val="clear"/>
        </w:rPr>
        <w:t>Informacje dotyczące zabezpieczenia należytego wykonania umowy, jeżeli zamawiający przewiduje obowiązek jego wniesienia.</w:t>
      </w:r>
    </w:p>
    <w:p>
      <w:pPr>
        <w:pStyle w:val="Normal"/>
        <w:spacing w:lineRule="auto" w:line="360"/>
        <w:jc w:val="both"/>
        <w:rPr>
          <w:rFonts w:ascii="Aptos" w:hAnsi="Aptos"/>
          <w:b/>
          <w:bCs/>
          <w:sz w:val="24"/>
          <w:szCs w:val="24"/>
          <w:highlight w:val="none"/>
          <w:shd w:fill="auto" w:val="clear"/>
        </w:rPr>
      </w:pPr>
      <w:r>
        <w:rPr>
          <w:rFonts w:ascii="Aptos" w:hAnsi="Aptos"/>
          <w:b/>
          <w:bCs/>
          <w:sz w:val="24"/>
          <w:szCs w:val="24"/>
          <w:shd w:fill="auto" w:val="clear"/>
        </w:rPr>
      </w:r>
    </w:p>
    <w:p>
      <w:pPr>
        <w:pStyle w:val="Normal"/>
        <w:widowControl/>
        <w:numPr>
          <w:ilvl w:val="0"/>
          <w:numId w:val="23"/>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Wykonawca, przed podpisaniem umowy wnosi zabezpieczenie należytego wykonania umowy w wysokości: (5 % ceny ofertowej brutto).</w:t>
      </w:r>
    </w:p>
    <w:p>
      <w:pPr>
        <w:pStyle w:val="Normal"/>
        <w:widowControl/>
        <w:numPr>
          <w:ilvl w:val="0"/>
          <w:numId w:val="23"/>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Zabezpieczenie może być wnoszone według wyboru wykonawcy w jednej lub w kilku następujących formach:</w:t>
      </w:r>
    </w:p>
    <w:p>
      <w:pPr>
        <w:pStyle w:val="Normal"/>
        <w:widowControl/>
        <w:numPr>
          <w:ilvl w:val="3"/>
          <w:numId w:val="23"/>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pieniądzu;</w:t>
      </w:r>
    </w:p>
    <w:p>
      <w:pPr>
        <w:pStyle w:val="Normal"/>
        <w:widowControl/>
        <w:numPr>
          <w:ilvl w:val="3"/>
          <w:numId w:val="23"/>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poręczeniach bankowych lub poręczeniach spółdzielczej kasy oszczędnościowo-kredytowej, z tym że zobowiązanie kasy jest zawsze zobowiązaniem pieniężnym;</w:t>
      </w:r>
    </w:p>
    <w:p>
      <w:pPr>
        <w:pStyle w:val="Normal"/>
        <w:widowControl/>
        <w:numPr>
          <w:ilvl w:val="3"/>
          <w:numId w:val="23"/>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gwarancjach bankowych;</w:t>
      </w:r>
    </w:p>
    <w:p>
      <w:pPr>
        <w:pStyle w:val="Normal"/>
        <w:widowControl/>
        <w:numPr>
          <w:ilvl w:val="3"/>
          <w:numId w:val="23"/>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gwarancjach ubezpieczeniowych;</w:t>
      </w:r>
    </w:p>
    <w:p>
      <w:pPr>
        <w:pStyle w:val="Normal"/>
        <w:widowControl/>
        <w:numPr>
          <w:ilvl w:val="3"/>
          <w:numId w:val="23"/>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poręczeniach udzielanych przez podmioty, o których mowa w art. 6b ust. 5 pkt 2 ustawy z dnia 9 listopada 2000 r. o utworzeniu Polskiej Agencji Rozwoju Przedsiębiorczości.</w:t>
      </w:r>
    </w:p>
    <w:p>
      <w:pPr>
        <w:pStyle w:val="Normal"/>
        <w:widowControl/>
        <w:numPr>
          <w:ilvl w:val="0"/>
          <w:numId w:val="23"/>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Zamawiający nie wyraża zgody na wniesienie zabezpieczenia w formach wskazanych w art. 450 ust. 2 ustawy Pzp.</w:t>
      </w:r>
    </w:p>
    <w:p>
      <w:pPr>
        <w:pStyle w:val="Normal"/>
        <w:widowControl/>
        <w:numPr>
          <w:ilvl w:val="0"/>
          <w:numId w:val="23"/>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Zabezpieczenie wnoszone w pieniądzu wykonawca wpłaca wyłącznie w walucie polskiej przelewem, na konto Zamawiającego: 46 1910 1048 4400 4026 1131 0003, Santander Bank Polska S.A., ul. Krakowskie Przedmieście 87, 32-087 Zielonki wskazując jako tytuł: „DK.271.9.2024 - zabezpieczenie należytego wykonania umowy”.</w:t>
      </w:r>
    </w:p>
    <w:p>
      <w:pPr>
        <w:pStyle w:val="Normal"/>
        <w:widowControl/>
        <w:numPr>
          <w:ilvl w:val="0"/>
          <w:numId w:val="23"/>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pPr>
        <w:pStyle w:val="Normal"/>
        <w:widowControl/>
        <w:numPr>
          <w:ilvl w:val="0"/>
          <w:numId w:val="23"/>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Zabezpieczenie wnoszone w formie innej niż w pieniądzu powinno być dostarczone w formie oryginału, przez wykonawcę do siedziby zamawiającego, najpóźniej w dniu podpisania umowy – do chwili jej podpisania.</w:t>
      </w:r>
    </w:p>
    <w:p>
      <w:pPr>
        <w:pStyle w:val="Normal"/>
        <w:widowControl/>
        <w:numPr>
          <w:ilvl w:val="0"/>
          <w:numId w:val="23"/>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Treść oświadczenia zawartego w gwarancji lub w poręczeniu musi zostać zaakceptowana przez zamawiającego przed podpisaniem umowy.</w:t>
      </w:r>
    </w:p>
    <w:p>
      <w:pPr>
        <w:pStyle w:val="Normal"/>
        <w:widowControl/>
        <w:numPr>
          <w:ilvl w:val="0"/>
          <w:numId w:val="23"/>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 xml:space="preserve">Jeżeli okres, na jaki ma zostać wniesione zabezpieczenie, przekracza 5 lat, zabezpieczenie w pieniądzu wnosi się na cały ten okres, a zabezpieczenie w innej formie wnosi się na okres, z jednoczesnym zobowiązaniem się wykonawcy do przedłużenia zabezpieczenia lub wniesienia nowego zabezpieczenia na kolejne okresy. </w:t>
      </w:r>
    </w:p>
    <w:p>
      <w:pPr>
        <w:pStyle w:val="Normal"/>
        <w:widowControl/>
        <w:numPr>
          <w:ilvl w:val="0"/>
          <w:numId w:val="23"/>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Z treści gwarancji lub poręczenia musi jednocześnie wynikać:</w:t>
      </w:r>
    </w:p>
    <w:p>
      <w:pPr>
        <w:pStyle w:val="Normal"/>
        <w:widowControl/>
        <w:numPr>
          <w:ilvl w:val="1"/>
          <w:numId w:val="23"/>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nazwa zleceniodawcy (wykonawcy), beneficjenta gwarancji lub poręczenia (zamawiającego), gwaranta lub poręczyciela (podmiotu udzielającego gwarancji lub poręczenia) oraz adresy ich siedzib;</w:t>
      </w:r>
    </w:p>
    <w:p>
      <w:pPr>
        <w:pStyle w:val="Normal"/>
        <w:widowControl/>
        <w:numPr>
          <w:ilvl w:val="1"/>
          <w:numId w:val="23"/>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określenie wierzytelności, która ma być zabezpieczona gwarancją lub poręczeniem;</w:t>
      </w:r>
    </w:p>
    <w:p>
      <w:pPr>
        <w:pStyle w:val="Normal"/>
        <w:widowControl/>
        <w:numPr>
          <w:ilvl w:val="1"/>
          <w:numId w:val="23"/>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kwota gwarancji lub poręczenia;</w:t>
      </w:r>
    </w:p>
    <w:p>
      <w:pPr>
        <w:pStyle w:val="Normal"/>
        <w:widowControl/>
        <w:numPr>
          <w:ilvl w:val="1"/>
          <w:numId w:val="23"/>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termin ważności gwarancji lub poręczenia, obejmujący cały okres wykonania zamówienia, począwszy co najmniej od dnia wyznaczonego na dzień zawarcia umowy, z zastrzeżeniem pkt 8 powyżej;</w:t>
      </w:r>
    </w:p>
    <w:p>
      <w:pPr>
        <w:pStyle w:val="Normal"/>
        <w:widowControl/>
        <w:numPr>
          <w:ilvl w:val="1"/>
          <w:numId w:val="23"/>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bezwarunkowe, nieodwołalne, płatne na pierwsze żądanie, zobowiązanie gwaranta do wypłaty zamawiającemu pełnej kwoty zabezpieczenia lub do wypłat łącznie do pełnej kwoty zabezpieczenia w przypadku realizacji zamówienia w sposób niezgodny z umową;</w:t>
      </w:r>
    </w:p>
    <w:p>
      <w:pPr>
        <w:pStyle w:val="Normal"/>
        <w:widowControl/>
        <w:numPr>
          <w:ilvl w:val="1"/>
          <w:numId w:val="23"/>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nie może uzależniać zapłaty od dokonania czynności sprawdzających, które mają wykazać zasadność żądania zamawiającego, a wypłata musi nastąpić na podstawie samego żądania wypłaty kwoty skierowanego przez zamawiającego do gwaranta.</w:t>
      </w:r>
    </w:p>
    <w:p>
      <w:pPr>
        <w:pStyle w:val="Normal"/>
        <w:widowControl/>
        <w:numPr>
          <w:ilvl w:val="0"/>
          <w:numId w:val="23"/>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 xml:space="preserve">  </w:t>
      </w:r>
      <w:r>
        <w:rPr>
          <w:rFonts w:ascii="Aptos" w:hAnsi="Aptos"/>
          <w:b w:val="false"/>
          <w:bCs w:val="false"/>
          <w:sz w:val="24"/>
          <w:szCs w:val="24"/>
          <w:shd w:fill="auto" w:val="clear"/>
        </w:rPr>
        <w:t>Zamawiający zwróci 70% kwoty zabezpieczenie należytego wykonania umowy w terminie 30 dni od dnia wykonania zamówienia i uznania przez Zamawiającego, jako należycie wykonane, zgodnie z zasadami określonymi w umowie w sprawie zamówienia publicznego. Zamawiający pozostawi na zabezpieczenie roszczeń z tytułu rękojmi za wady 30% kwoty zabezpieczenia. Kwota, o której mowa w zdaniu drugim zostanie zwrócona nie później niż w 15 dniu po upływie okresu rękojmi za wady.</w:t>
      </w:r>
    </w:p>
    <w:p>
      <w:pPr>
        <w:pStyle w:val="Normal"/>
        <w:spacing w:lineRule="auto" w:line="360"/>
        <w:jc w:val="both"/>
        <w:rPr>
          <w:rFonts w:ascii="Aptos" w:hAnsi="Aptos"/>
          <w:b/>
          <w:bCs/>
          <w:sz w:val="24"/>
          <w:szCs w:val="24"/>
          <w:highlight w:val="none"/>
          <w:shd w:fill="auto" w:val="clear"/>
        </w:rPr>
      </w:pPr>
      <w:r>
        <w:rPr>
          <w:rFonts w:ascii="Aptos" w:hAnsi="Aptos"/>
          <w:b/>
          <w:bCs/>
          <w:sz w:val="24"/>
          <w:szCs w:val="24"/>
          <w:shd w:fill="auto" w:val="clear"/>
        </w:rPr>
      </w:r>
    </w:p>
    <w:p>
      <w:pPr>
        <w:pStyle w:val="Normal"/>
        <w:numPr>
          <w:ilvl w:val="0"/>
          <w:numId w:val="3"/>
        </w:numPr>
        <w:spacing w:lineRule="auto" w:line="360"/>
        <w:jc w:val="both"/>
        <w:rPr>
          <w:rFonts w:ascii="Aptos" w:hAnsi="Aptos"/>
        </w:rPr>
      </w:pPr>
      <w:r>
        <w:rPr>
          <w:rFonts w:ascii="Aptos" w:hAnsi="Aptos"/>
          <w:b/>
          <w:bCs/>
          <w:sz w:val="24"/>
          <w:szCs w:val="24"/>
          <w:shd w:fill="auto" w:val="clear"/>
        </w:rPr>
        <w:t>Informacje dotyczące ofert wariantowych, w tym informacje o sposobie przedstawiania ofert wariantowych oraz minimalne warunki, jakim muszą odpowiadać oferty wariantowe, jeżeli zamawiający wymaga lub dopuszcza ich składanie.</w:t>
      </w:r>
    </w:p>
    <w:p>
      <w:pPr>
        <w:pStyle w:val="Normal"/>
        <w:spacing w:lineRule="auto" w:line="360"/>
        <w:jc w:val="both"/>
        <w:rPr>
          <w:rFonts w:ascii="Aptos" w:hAnsi="Aptos"/>
        </w:rPr>
      </w:pPr>
      <w:r>
        <w:rPr>
          <w:rFonts w:ascii="Aptos" w:hAnsi="Aptos"/>
          <w:b w:val="false"/>
          <w:bCs w:val="false"/>
          <w:sz w:val="24"/>
          <w:szCs w:val="24"/>
          <w:shd w:fill="auto" w:val="clear"/>
        </w:rPr>
        <w:t>Zamawiający nie dopuszcza możliwości składania ofert wariantowych.</w:t>
      </w:r>
    </w:p>
    <w:p>
      <w:pPr>
        <w:pStyle w:val="Normal"/>
        <w:spacing w:lineRule="auto" w:line="360"/>
        <w:jc w:val="both"/>
        <w:rPr>
          <w:rFonts w:ascii="Aptos" w:hAnsi="Aptos"/>
          <w:b/>
          <w:bCs/>
          <w:sz w:val="24"/>
          <w:szCs w:val="24"/>
          <w:highlight w:val="none"/>
          <w:shd w:fill="auto" w:val="clear"/>
        </w:rPr>
      </w:pPr>
      <w:r>
        <w:rPr>
          <w:rFonts w:ascii="Aptos" w:hAnsi="Aptos"/>
          <w:b/>
          <w:bCs/>
          <w:sz w:val="24"/>
          <w:szCs w:val="24"/>
          <w:shd w:fill="auto" w:val="clear"/>
        </w:rPr>
      </w:r>
    </w:p>
    <w:p>
      <w:pPr>
        <w:pStyle w:val="Normal"/>
        <w:numPr>
          <w:ilvl w:val="0"/>
          <w:numId w:val="3"/>
        </w:numPr>
        <w:spacing w:lineRule="auto" w:line="360"/>
        <w:jc w:val="both"/>
        <w:rPr>
          <w:rFonts w:ascii="Aptos" w:hAnsi="Aptos"/>
        </w:rPr>
      </w:pPr>
      <w:r>
        <w:rPr>
          <w:rFonts w:ascii="Aptos" w:hAnsi="Aptos"/>
          <w:b/>
          <w:bCs/>
          <w:sz w:val="24"/>
          <w:szCs w:val="24"/>
          <w:shd w:fill="auto" w:val="clear"/>
        </w:rPr>
        <w:t>Maksymalna liczba wykonawców, z którymi zamawiający zawrze umowę ramową, jeżeli zamawiający przewiduje zawarcie umowy ramowej;</w:t>
      </w:r>
    </w:p>
    <w:p>
      <w:pPr>
        <w:pStyle w:val="Normal"/>
        <w:spacing w:lineRule="auto" w:line="360"/>
        <w:jc w:val="both"/>
        <w:rPr>
          <w:rFonts w:ascii="Aptos" w:hAnsi="Aptos"/>
        </w:rPr>
      </w:pPr>
      <w:r>
        <w:rPr>
          <w:rFonts w:ascii="Aptos" w:hAnsi="Aptos"/>
          <w:b w:val="false"/>
          <w:bCs w:val="false"/>
          <w:sz w:val="24"/>
          <w:szCs w:val="24"/>
          <w:shd w:fill="auto" w:val="clear"/>
        </w:rPr>
        <w:t>Zamawiający nie przewiduje zawarcia umowy ramowej.</w:t>
      </w:r>
    </w:p>
    <w:p>
      <w:pPr>
        <w:pStyle w:val="Normal"/>
        <w:spacing w:lineRule="auto" w:line="360"/>
        <w:jc w:val="both"/>
        <w:rPr>
          <w:rFonts w:ascii="Aptos" w:hAnsi="Aptos"/>
          <w:b/>
          <w:bCs/>
          <w:sz w:val="24"/>
          <w:szCs w:val="24"/>
          <w:highlight w:val="none"/>
          <w:shd w:fill="auto" w:val="clear"/>
        </w:rPr>
      </w:pPr>
      <w:r>
        <w:rPr>
          <w:rFonts w:ascii="Aptos" w:hAnsi="Aptos"/>
          <w:b/>
          <w:bCs/>
          <w:sz w:val="24"/>
          <w:szCs w:val="24"/>
          <w:shd w:fill="auto" w:val="clear"/>
        </w:rPr>
      </w:r>
    </w:p>
    <w:p>
      <w:pPr>
        <w:pStyle w:val="Normal"/>
        <w:numPr>
          <w:ilvl w:val="0"/>
          <w:numId w:val="3"/>
        </w:numPr>
        <w:spacing w:lineRule="auto" w:line="360"/>
        <w:jc w:val="both"/>
        <w:rPr>
          <w:rFonts w:ascii="Aptos" w:hAnsi="Aptos"/>
        </w:rPr>
      </w:pPr>
      <w:r>
        <w:rPr>
          <w:rFonts w:ascii="Aptos" w:hAnsi="Aptos"/>
          <w:b/>
          <w:bCs/>
          <w:sz w:val="24"/>
          <w:szCs w:val="24"/>
          <w:shd w:fill="auto" w:val="clear"/>
        </w:rPr>
        <w:t>Informacja o przewidywanych zamówieniach, o których mowa w art. 214 ust. 1 pkt 7 i 8, jeżeli zamawiający przewiduje udzielenie takich zamówień.</w:t>
      </w:r>
    </w:p>
    <w:p>
      <w:pPr>
        <w:pStyle w:val="Normal"/>
        <w:spacing w:lineRule="auto" w:line="360"/>
        <w:jc w:val="both"/>
        <w:rPr>
          <w:rFonts w:ascii="Aptos" w:hAnsi="Aptos"/>
          <w:b w:val="false"/>
          <w:bCs w:val="false"/>
          <w:sz w:val="24"/>
          <w:szCs w:val="24"/>
          <w:shd w:fill="auto" w:val="clear"/>
        </w:rPr>
      </w:pPr>
      <w:r>
        <w:rPr>
          <w:rFonts w:ascii="Aptos" w:hAnsi="Aptos"/>
          <w:b w:val="false"/>
          <w:bCs w:val="false"/>
          <w:sz w:val="24"/>
          <w:szCs w:val="24"/>
          <w:shd w:fill="auto" w:val="clear"/>
        </w:rPr>
      </w:r>
    </w:p>
    <w:p>
      <w:pPr>
        <w:pStyle w:val="Normal"/>
        <w:widowControl/>
        <w:numPr>
          <w:ilvl w:val="0"/>
          <w:numId w:val="26"/>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Zamawiający przewiduje możliwość udzielenia zamówień uzupełniających, o których mowa w art. 214 ust. 1 pkt. 7 oraz ust. 2 Pzp, polegających na powtórzeniu zamówień podobnych do przedmiotu zamówienia podstawowego i zgodnych z nim, których całkowita, łączna wartość nie przekroczy 50% wartości zamówienia podstawowego. Zakres możliwych do udzielenia zamówień uzupełniających, może polegać na powtórzeniu tego samego rodzaju zamówień, zgodnych z przedmiotem zamówienia podstawowego, w szczególności, gdy zaistnieje uzasadniona potrzeba rozszerzenia przedmiotu zamówienia poprzez wykonanie robót budowlanych. Roboty te mogą polegać w szczególności na mostowych, drogowych, robotach instalacyjnych sanitarnych związanych robotami w zakresie mostów i dróg i obejmować:</w:t>
      </w:r>
    </w:p>
    <w:p>
      <w:pPr>
        <w:pStyle w:val="Normal"/>
        <w:widowControl/>
        <w:numPr>
          <w:ilvl w:val="1"/>
          <w:numId w:val="26"/>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wykonanie nowych lub remont lub odbudowa lub przebudowa istniejących obiektów mostowych/wiaduktów,</w:t>
      </w:r>
    </w:p>
    <w:p>
      <w:pPr>
        <w:pStyle w:val="Normal"/>
        <w:widowControl/>
        <w:numPr>
          <w:ilvl w:val="1"/>
          <w:numId w:val="26"/>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wydłużenie poszczególnych odcinków dróg, chodników lub ciągów pieszo – rowerowych, budowanych lub remontowanych,</w:t>
      </w:r>
    </w:p>
    <w:p>
      <w:pPr>
        <w:pStyle w:val="Normal"/>
        <w:widowControl/>
        <w:numPr>
          <w:ilvl w:val="1"/>
          <w:numId w:val="26"/>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wydłużenie poszczególnych odcinków kanalizacji deszczowej lub rowów otwartych, budowanych lub remontowanych,</w:t>
      </w:r>
    </w:p>
    <w:p>
      <w:pPr>
        <w:pStyle w:val="Normal"/>
        <w:widowControl/>
        <w:numPr>
          <w:ilvl w:val="1"/>
          <w:numId w:val="26"/>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zwiększeniu ilości urządzeń technicznych służących obsłudze tych dróg lub kanalizacji deszczowej,</w:t>
      </w:r>
    </w:p>
    <w:p>
      <w:pPr>
        <w:pStyle w:val="Normal"/>
        <w:widowControl/>
        <w:numPr>
          <w:ilvl w:val="1"/>
          <w:numId w:val="26"/>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wykonanie nowych lub wyremontowanie kolejnych odcinków dróg, chodników lub ciągów pieszo – rowerowych lub kanalizacji deszczowej do ich obsługi;</w:t>
      </w:r>
    </w:p>
    <w:p>
      <w:pPr>
        <w:pStyle w:val="Normal"/>
        <w:widowControl/>
        <w:numPr>
          <w:ilvl w:val="1"/>
          <w:numId w:val="26"/>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zwiększenie zakresu robót drogowych lub w zakresie ciągów pieszo - rowerowych związanych z budowanymi sieciami.</w:t>
      </w:r>
    </w:p>
    <w:p>
      <w:pPr>
        <w:pStyle w:val="Normal"/>
        <w:widowControl/>
        <w:numPr>
          <w:ilvl w:val="0"/>
          <w:numId w:val="26"/>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 xml:space="preserve">Warunki umowne na jakich zostaną udzielone ewentualne zamówienia uzupełniające: podstawą do negocjacji warunków udzielania zamówienia będzie wzór umowy nie odbiegający istotnie od postanowień wzoru umowy stanowiącego </w:t>
      </w:r>
      <w:r>
        <w:rPr>
          <w:rFonts w:ascii="Aptos" w:hAnsi="Aptos"/>
          <w:b/>
          <w:bCs/>
          <w:sz w:val="24"/>
          <w:szCs w:val="24"/>
          <w:shd w:fill="auto" w:val="clear"/>
        </w:rPr>
        <w:t>załącznik nr 1</w:t>
      </w:r>
      <w:r>
        <w:rPr>
          <w:rFonts w:ascii="Aptos" w:hAnsi="Aptos"/>
          <w:b w:val="false"/>
          <w:bCs w:val="false"/>
          <w:sz w:val="24"/>
          <w:szCs w:val="24"/>
          <w:shd w:fill="auto" w:val="clear"/>
        </w:rPr>
        <w:t xml:space="preserve"> do niniejszej SWZ, z tym zastrzeżeniem, że w przypadku udzielenia zamówienia podobnego dopuszczalne będzie fakturowanie w okresach miesięcznych.</w:t>
      </w:r>
    </w:p>
    <w:p>
      <w:pPr>
        <w:pStyle w:val="Normal"/>
        <w:spacing w:lineRule="auto" w:line="360"/>
        <w:jc w:val="both"/>
        <w:rPr>
          <w:rFonts w:ascii="Aptos" w:hAnsi="Aptos"/>
          <w:b w:val="false"/>
          <w:bCs w:val="false"/>
          <w:sz w:val="24"/>
          <w:szCs w:val="24"/>
          <w:highlight w:val="none"/>
          <w:shd w:fill="auto" w:val="clear"/>
        </w:rPr>
      </w:pPr>
      <w:r>
        <w:rPr>
          <w:rFonts w:ascii="Aptos" w:hAnsi="Aptos"/>
          <w:b w:val="false"/>
          <w:bCs w:val="false"/>
          <w:sz w:val="24"/>
          <w:szCs w:val="24"/>
          <w:shd w:fill="auto" w:val="clear"/>
        </w:rPr>
      </w:r>
    </w:p>
    <w:p>
      <w:pPr>
        <w:pStyle w:val="Normal"/>
        <w:numPr>
          <w:ilvl w:val="0"/>
          <w:numId w:val="3"/>
        </w:numPr>
        <w:spacing w:lineRule="auto" w:line="360"/>
        <w:jc w:val="both"/>
        <w:rPr>
          <w:rFonts w:ascii="Aptos" w:hAnsi="Aptos"/>
        </w:rPr>
      </w:pPr>
      <w:r>
        <w:rPr>
          <w:rFonts w:ascii="Aptos" w:hAnsi="Aptos"/>
          <w:b/>
          <w:bCs/>
          <w:sz w:val="24"/>
          <w:szCs w:val="24"/>
          <w:shd w:fill="auto" w:val="clear"/>
        </w:rPr>
        <w:t>Informacje dotyczące przeprowadzenia przez wykonawcę wizji lokalnej lub sprawdzenia przez niego dokumentów niezbędnych do realizacji zamówienia, o których mowa w art. 131 ust. 2, jeżeli zamawiający przewiduje możliwość albo wymaga złożenia oferty po odbyciu wizji lokalnej lub sprawdzeniu tych dokumentów.</w:t>
      </w:r>
    </w:p>
    <w:p>
      <w:pPr>
        <w:pStyle w:val="Normal"/>
        <w:spacing w:lineRule="auto" w:line="360"/>
        <w:jc w:val="both"/>
        <w:rPr>
          <w:rFonts w:ascii="Aptos" w:hAnsi="Aptos"/>
          <w:b w:val="false"/>
          <w:bCs w:val="false"/>
          <w:sz w:val="24"/>
          <w:szCs w:val="24"/>
          <w:shd w:fill="auto" w:val="clear"/>
        </w:rPr>
      </w:pPr>
      <w:r>
        <w:rPr>
          <w:rFonts w:ascii="Aptos" w:hAnsi="Aptos"/>
          <w:b w:val="false"/>
          <w:bCs w:val="false"/>
          <w:sz w:val="24"/>
          <w:szCs w:val="24"/>
          <w:shd w:fill="auto" w:val="clear"/>
        </w:rPr>
      </w:r>
    </w:p>
    <w:p>
      <w:pPr>
        <w:pStyle w:val="Normal"/>
        <w:spacing w:lineRule="auto" w:line="360"/>
        <w:jc w:val="both"/>
        <w:rPr>
          <w:rFonts w:ascii="Aptos" w:hAnsi="Aptos"/>
        </w:rPr>
      </w:pPr>
      <w:r>
        <w:rPr>
          <w:rFonts w:ascii="Aptos" w:hAnsi="Aptos"/>
          <w:b w:val="false"/>
          <w:bCs w:val="false"/>
          <w:sz w:val="24"/>
          <w:szCs w:val="24"/>
          <w:shd w:fill="auto" w:val="clear"/>
        </w:rPr>
        <w:t>Zamawiający nie wymaga odbycia wizji lokalnej.</w:t>
      </w:r>
    </w:p>
    <w:p>
      <w:pPr>
        <w:pStyle w:val="Normal"/>
        <w:spacing w:lineRule="auto" w:line="360"/>
        <w:jc w:val="both"/>
        <w:rPr>
          <w:rFonts w:ascii="Aptos" w:hAnsi="Aptos"/>
          <w:b/>
          <w:bCs/>
          <w:sz w:val="24"/>
          <w:szCs w:val="24"/>
          <w:highlight w:val="none"/>
          <w:shd w:fill="auto" w:val="clear"/>
        </w:rPr>
      </w:pPr>
      <w:r>
        <w:rPr>
          <w:rFonts w:ascii="Aptos" w:hAnsi="Aptos"/>
          <w:b/>
          <w:bCs/>
          <w:sz w:val="24"/>
          <w:szCs w:val="24"/>
          <w:shd w:fill="auto" w:val="clear"/>
        </w:rPr>
      </w:r>
    </w:p>
    <w:p>
      <w:pPr>
        <w:pStyle w:val="Normal"/>
        <w:numPr>
          <w:ilvl w:val="0"/>
          <w:numId w:val="3"/>
        </w:numPr>
        <w:spacing w:lineRule="auto" w:line="360"/>
        <w:jc w:val="both"/>
        <w:rPr>
          <w:rFonts w:ascii="Aptos" w:hAnsi="Aptos"/>
        </w:rPr>
      </w:pPr>
      <w:r>
        <w:rPr>
          <w:rFonts w:ascii="Aptos" w:hAnsi="Aptos"/>
          <w:b/>
          <w:bCs/>
          <w:sz w:val="24"/>
          <w:szCs w:val="24"/>
          <w:shd w:fill="auto" w:val="clear"/>
        </w:rPr>
        <w:t>Informacje dotyczące walut obcych, w jakich mogą być prowadzone rozliczenia między zamawiającym a wykonawcą, jeżeli zamawiający przewiduje rozliczenia w walutach obcych.</w:t>
      </w:r>
    </w:p>
    <w:p>
      <w:pPr>
        <w:pStyle w:val="Normal"/>
        <w:spacing w:lineRule="auto" w:line="360"/>
        <w:jc w:val="both"/>
        <w:rPr>
          <w:rFonts w:ascii="Aptos" w:hAnsi="Aptos"/>
        </w:rPr>
      </w:pPr>
      <w:r>
        <w:rPr>
          <w:rFonts w:ascii="Aptos" w:hAnsi="Aptos"/>
        </w:rPr>
      </w:r>
    </w:p>
    <w:p>
      <w:pPr>
        <w:pStyle w:val="Normal"/>
        <w:spacing w:lineRule="auto" w:line="360"/>
        <w:jc w:val="both"/>
        <w:rPr>
          <w:rFonts w:ascii="Aptos" w:hAnsi="Aptos"/>
        </w:rPr>
      </w:pPr>
      <w:r>
        <w:rPr>
          <w:rFonts w:ascii="Aptos" w:hAnsi="Aptos"/>
        </w:rPr>
        <w:t>Zamawiający nie przewiduje rozliczenia w walutach obcych.</w:t>
      </w:r>
    </w:p>
    <w:p>
      <w:pPr>
        <w:pStyle w:val="Normal"/>
        <w:spacing w:lineRule="auto" w:line="360"/>
        <w:jc w:val="both"/>
        <w:rPr>
          <w:rFonts w:ascii="Aptos" w:hAnsi="Aptos"/>
          <w:b/>
          <w:bCs/>
          <w:sz w:val="24"/>
          <w:szCs w:val="24"/>
          <w:highlight w:val="none"/>
          <w:shd w:fill="auto" w:val="clear"/>
        </w:rPr>
      </w:pPr>
      <w:r>
        <w:rPr>
          <w:rFonts w:ascii="Aptos" w:hAnsi="Aptos"/>
          <w:b/>
          <w:bCs/>
          <w:sz w:val="24"/>
          <w:szCs w:val="24"/>
          <w:shd w:fill="auto" w:val="clear"/>
        </w:rPr>
      </w:r>
    </w:p>
    <w:p>
      <w:pPr>
        <w:pStyle w:val="Normal"/>
        <w:numPr>
          <w:ilvl w:val="0"/>
          <w:numId w:val="3"/>
        </w:numPr>
        <w:spacing w:lineRule="auto" w:line="360"/>
        <w:jc w:val="both"/>
        <w:rPr>
          <w:rFonts w:ascii="Aptos" w:hAnsi="Aptos"/>
        </w:rPr>
      </w:pPr>
      <w:r>
        <w:rPr>
          <w:rFonts w:ascii="Aptos" w:hAnsi="Aptos"/>
          <w:b/>
          <w:bCs/>
        </w:rPr>
        <w:t>Informacja o uprzedniej ocenie ofert, zgodnie z art. 139, jeżeli zamawiający przewiduje odwróconą kolejność oceny.</w:t>
      </w:r>
    </w:p>
    <w:p>
      <w:pPr>
        <w:pStyle w:val="Normal"/>
        <w:spacing w:lineRule="auto" w:line="360"/>
        <w:jc w:val="both"/>
        <w:rPr>
          <w:rFonts w:ascii="Aptos" w:hAnsi="Aptos"/>
          <w:b/>
          <w:bCs/>
          <w:sz w:val="24"/>
          <w:szCs w:val="24"/>
          <w:shd w:fill="auto" w:val="clear"/>
        </w:rPr>
      </w:pPr>
      <w:r>
        <w:rPr>
          <w:rFonts w:ascii="Aptos" w:hAnsi="Aptos"/>
          <w:b/>
          <w:bCs/>
          <w:sz w:val="24"/>
          <w:szCs w:val="24"/>
          <w:shd w:fill="auto" w:val="clear"/>
        </w:rPr>
      </w:r>
    </w:p>
    <w:p>
      <w:pPr>
        <w:pStyle w:val="Normal"/>
        <w:widowControl/>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NIE DOTYCZY.</w:t>
      </w:r>
    </w:p>
    <w:p>
      <w:pPr>
        <w:pStyle w:val="Normal"/>
        <w:spacing w:lineRule="auto" w:line="360"/>
        <w:jc w:val="both"/>
        <w:rPr>
          <w:rFonts w:ascii="Aptos" w:hAnsi="Aptos"/>
          <w:b/>
          <w:bCs/>
          <w:sz w:val="24"/>
          <w:szCs w:val="24"/>
          <w:shd w:fill="auto" w:val="clear"/>
        </w:rPr>
      </w:pPr>
      <w:r>
        <w:rPr>
          <w:rFonts w:ascii="Aptos" w:hAnsi="Aptos"/>
          <w:b/>
          <w:bCs/>
          <w:sz w:val="24"/>
          <w:szCs w:val="24"/>
          <w:shd w:fill="auto" w:val="clear"/>
        </w:rPr>
      </w:r>
    </w:p>
    <w:p>
      <w:pPr>
        <w:pStyle w:val="Normal"/>
        <w:numPr>
          <w:ilvl w:val="0"/>
          <w:numId w:val="3"/>
        </w:numPr>
        <w:spacing w:lineRule="auto" w:line="360"/>
        <w:jc w:val="both"/>
        <w:rPr>
          <w:rFonts w:ascii="Aptos" w:hAnsi="Aptos"/>
        </w:rPr>
      </w:pPr>
      <w:r>
        <w:rPr>
          <w:rFonts w:ascii="Aptos" w:hAnsi="Aptos"/>
          <w:b/>
          <w:bCs/>
          <w:sz w:val="24"/>
          <w:szCs w:val="24"/>
          <w:shd w:fill="auto" w:val="clear"/>
        </w:rPr>
        <w:t>Informacja o przewidywanym wyborze najkorzystniejszej oferty z zastosowaniem aukcji elektronicznej wraz z informacjami, o których mowa w art. 230, jeżeli zamawiający przewiduje aukcję elektroniczną.</w:t>
      </w:r>
    </w:p>
    <w:p>
      <w:pPr>
        <w:pStyle w:val="Normal"/>
        <w:spacing w:lineRule="auto" w:line="360"/>
        <w:jc w:val="both"/>
        <w:rPr>
          <w:rFonts w:ascii="Aptos" w:hAnsi="Aptos"/>
          <w:b w:val="false"/>
          <w:bCs w:val="false"/>
          <w:sz w:val="24"/>
          <w:szCs w:val="24"/>
          <w:shd w:fill="auto" w:val="clear"/>
        </w:rPr>
      </w:pPr>
      <w:r>
        <w:rPr>
          <w:rFonts w:ascii="Aptos" w:hAnsi="Aptos"/>
          <w:b w:val="false"/>
          <w:bCs w:val="false"/>
          <w:sz w:val="24"/>
          <w:szCs w:val="24"/>
          <w:shd w:fill="auto" w:val="clear"/>
        </w:rPr>
      </w:r>
    </w:p>
    <w:p>
      <w:pPr>
        <w:pStyle w:val="Normal"/>
        <w:spacing w:lineRule="auto" w:line="360"/>
        <w:jc w:val="both"/>
        <w:rPr>
          <w:rFonts w:ascii="Aptos" w:hAnsi="Aptos"/>
        </w:rPr>
      </w:pPr>
      <w:r>
        <w:rPr>
          <w:rFonts w:ascii="Aptos" w:hAnsi="Aptos"/>
          <w:b w:val="false"/>
          <w:bCs w:val="false"/>
          <w:sz w:val="24"/>
          <w:szCs w:val="24"/>
          <w:shd w:fill="auto" w:val="clear"/>
        </w:rPr>
        <w:t>Zamawiający nie przewiduje przeprowadzenia aukcji elektronicznej.</w:t>
      </w:r>
    </w:p>
    <w:p>
      <w:pPr>
        <w:pStyle w:val="Normal"/>
        <w:spacing w:lineRule="auto" w:line="360"/>
        <w:jc w:val="both"/>
        <w:rPr>
          <w:rFonts w:ascii="Aptos" w:hAnsi="Aptos"/>
          <w:b/>
          <w:bCs/>
          <w:sz w:val="24"/>
          <w:szCs w:val="24"/>
          <w:highlight w:val="none"/>
          <w:shd w:fill="auto" w:val="clear"/>
        </w:rPr>
      </w:pPr>
      <w:r>
        <w:rPr>
          <w:rFonts w:ascii="Aptos" w:hAnsi="Aptos"/>
          <w:b/>
          <w:bCs/>
          <w:sz w:val="24"/>
          <w:szCs w:val="24"/>
          <w:shd w:fill="auto" w:val="clear"/>
        </w:rPr>
      </w:r>
    </w:p>
    <w:p>
      <w:pPr>
        <w:pStyle w:val="Normal"/>
        <w:numPr>
          <w:ilvl w:val="0"/>
          <w:numId w:val="3"/>
        </w:numPr>
        <w:spacing w:lineRule="auto" w:line="360"/>
        <w:jc w:val="both"/>
        <w:rPr>
          <w:rFonts w:ascii="Aptos" w:hAnsi="Aptos"/>
        </w:rPr>
      </w:pPr>
      <w:r>
        <w:rPr>
          <w:rFonts w:ascii="Aptos" w:hAnsi="Aptos"/>
          <w:b/>
          <w:bCs/>
          <w:sz w:val="24"/>
          <w:szCs w:val="24"/>
          <w:shd w:fill="auto" w:val="clear"/>
        </w:rPr>
        <w:t>Informacje dotyczące zwrotu kosztów udziału w postępowaniu, jeżeli zamawiający przewiduje ich zwrot.</w:t>
      </w:r>
    </w:p>
    <w:p>
      <w:pPr>
        <w:pStyle w:val="Normal"/>
        <w:spacing w:lineRule="auto" w:line="360"/>
        <w:jc w:val="both"/>
        <w:rPr>
          <w:rFonts w:ascii="Aptos" w:hAnsi="Aptos"/>
          <w:b w:val="false"/>
          <w:bCs w:val="false"/>
          <w:sz w:val="24"/>
          <w:szCs w:val="24"/>
          <w:shd w:fill="auto" w:val="clear"/>
        </w:rPr>
      </w:pPr>
      <w:r>
        <w:rPr>
          <w:rFonts w:ascii="Aptos" w:hAnsi="Aptos"/>
          <w:b w:val="false"/>
          <w:bCs w:val="false"/>
          <w:sz w:val="24"/>
          <w:szCs w:val="24"/>
          <w:shd w:fill="auto" w:val="clear"/>
        </w:rPr>
      </w:r>
    </w:p>
    <w:p>
      <w:pPr>
        <w:pStyle w:val="Normal"/>
        <w:spacing w:lineRule="auto" w:line="360"/>
        <w:jc w:val="both"/>
        <w:rPr>
          <w:rFonts w:ascii="Aptos" w:hAnsi="Aptos"/>
        </w:rPr>
      </w:pPr>
      <w:r>
        <w:rPr>
          <w:rFonts w:ascii="Aptos" w:hAnsi="Aptos"/>
          <w:b w:val="false"/>
          <w:bCs w:val="false"/>
          <w:sz w:val="24"/>
          <w:szCs w:val="24"/>
          <w:shd w:fill="auto" w:val="clear"/>
        </w:rPr>
        <w:t>Zamawiający nie przewiduje zwrotu kosztów udziału w postępowaniu.</w:t>
      </w:r>
    </w:p>
    <w:p>
      <w:pPr>
        <w:pStyle w:val="Normal"/>
        <w:spacing w:lineRule="auto" w:line="360"/>
        <w:jc w:val="both"/>
        <w:rPr>
          <w:rFonts w:ascii="Aptos" w:hAnsi="Aptos"/>
          <w:b/>
          <w:bCs/>
          <w:sz w:val="24"/>
          <w:szCs w:val="24"/>
          <w:highlight w:val="none"/>
          <w:shd w:fill="auto" w:val="clear"/>
        </w:rPr>
      </w:pPr>
      <w:r>
        <w:rPr>
          <w:rFonts w:ascii="Aptos" w:hAnsi="Aptos"/>
          <w:b/>
          <w:bCs/>
          <w:sz w:val="24"/>
          <w:szCs w:val="24"/>
          <w:shd w:fill="auto" w:val="clear"/>
        </w:rPr>
      </w:r>
    </w:p>
    <w:p>
      <w:pPr>
        <w:pStyle w:val="Normal"/>
        <w:numPr>
          <w:ilvl w:val="0"/>
          <w:numId w:val="3"/>
        </w:numPr>
        <w:spacing w:lineRule="auto" w:line="360"/>
        <w:jc w:val="both"/>
        <w:rPr>
          <w:rFonts w:ascii="Aptos" w:hAnsi="Aptos"/>
        </w:rPr>
      </w:pPr>
      <w:r>
        <w:rPr>
          <w:rFonts w:ascii="Aptos" w:hAnsi="Aptos"/>
          <w:b/>
          <w:bCs/>
          <w:sz w:val="24"/>
          <w:szCs w:val="24"/>
          <w:shd w:fill="auto" w:val="clear"/>
        </w:rPr>
        <w:t>Wymagania w zakresie zatrudnienia na podstawie stosunku pracy, w okolicznościach, o których mowa w art. 95, jeżeli zamawiający przewiduje takie wymagania.</w:t>
      </w:r>
    </w:p>
    <w:p>
      <w:pPr>
        <w:pStyle w:val="Normal"/>
        <w:spacing w:lineRule="auto" w:line="360"/>
        <w:jc w:val="both"/>
        <w:rPr>
          <w:rFonts w:ascii="Aptos" w:hAnsi="Aptos"/>
          <w:b/>
          <w:bCs/>
          <w:sz w:val="24"/>
          <w:szCs w:val="24"/>
          <w:shd w:fill="auto" w:val="clear"/>
        </w:rPr>
      </w:pPr>
      <w:r>
        <w:rPr>
          <w:rFonts w:ascii="Aptos" w:hAnsi="Aptos"/>
          <w:b/>
          <w:bCs/>
          <w:sz w:val="24"/>
          <w:szCs w:val="24"/>
          <w:shd w:fill="auto" w:val="clear"/>
        </w:rPr>
      </w:r>
    </w:p>
    <w:p>
      <w:pPr>
        <w:pStyle w:val="Normal"/>
        <w:widowControl/>
        <w:numPr>
          <w:ilvl w:val="0"/>
          <w:numId w:val="27"/>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Zamawiający wymaga, aby osoby wykonujące czynności w zakresie realizacji zamówienia, wykonujące prace ziemne, drogowe a także obsługujące maszyny budowlane, były zatrudnione w ramach stosunku pracy jako jego pracownicy w rozumieniu przepisów ustawy z dnia 26 czerwca 1974 r. – Kodeks pracy.</w:t>
      </w:r>
    </w:p>
    <w:p>
      <w:pPr>
        <w:pStyle w:val="Normal"/>
        <w:widowControl/>
        <w:numPr>
          <w:ilvl w:val="0"/>
          <w:numId w:val="27"/>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Zamawiający wymaga, aby osoby wykonujące czynności w zakresie realizacji zamówienia, polegające na wykonywaniu samodzielnych funkcji technicznych w budownictwie, zostały przez wykonawcę lub podwykonawcę zatrudnionego na podstawie umowy o pracę, jeżeli wykonywanie tych czynności polegać będzie na wykonywaniu pracy w sposób określony w art. 22 § 1 ustawy z dnia 26 czerwca 1974 r. - Kodeks pracy.</w:t>
      </w:r>
    </w:p>
    <w:p>
      <w:pPr>
        <w:pStyle w:val="Normal"/>
        <w:widowControl/>
        <w:numPr>
          <w:ilvl w:val="0"/>
          <w:numId w:val="27"/>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W trakcie realizacji zamówienia Zamawiający uprawniony jest do wykonywania czynności kontrolnych wobec wykonawcy odnośnie spełniania przez Wykonawcę lub podwykonawcę wymogu zatrudnienia na podstawie umowy o pracę osób wykonujących wskazane powyżej czynności. Zamawiający uprawniony jest w szczególności do:</w:t>
      </w:r>
    </w:p>
    <w:p>
      <w:pPr>
        <w:pStyle w:val="Normal"/>
        <w:widowControl/>
        <w:numPr>
          <w:ilvl w:val="1"/>
          <w:numId w:val="27"/>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żądania oświadczeń i dokumentów w zakresie potwierdzenia spełniania ww. wymogów i dokonywania ich oceny,</w:t>
      </w:r>
    </w:p>
    <w:p>
      <w:pPr>
        <w:pStyle w:val="Normal"/>
        <w:widowControl/>
        <w:numPr>
          <w:ilvl w:val="1"/>
          <w:numId w:val="27"/>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żądania wyjaśnień w przypadku wątpliwości w zakresie potwierdzenia spełniania ww. wymogów,</w:t>
      </w:r>
    </w:p>
    <w:p>
      <w:pPr>
        <w:pStyle w:val="Normal"/>
        <w:widowControl/>
        <w:numPr>
          <w:ilvl w:val="1"/>
          <w:numId w:val="27"/>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przeprowadzania kontroli na miejscu wykonywania świadczenia.</w:t>
      </w:r>
    </w:p>
    <w:p>
      <w:pPr>
        <w:pStyle w:val="Normal"/>
        <w:widowControl/>
        <w:numPr>
          <w:ilvl w:val="0"/>
          <w:numId w:val="27"/>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powyżej czynności w trakcie realizacji zamówienia:</w:t>
      </w:r>
    </w:p>
    <w:p>
      <w:pPr>
        <w:pStyle w:val="Normal"/>
        <w:widowControl/>
        <w:numPr>
          <w:ilvl w:val="1"/>
          <w:numId w:val="27"/>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pPr>
        <w:pStyle w:val="Normal"/>
        <w:widowControl/>
        <w:numPr>
          <w:ilvl w:val="1"/>
          <w:numId w:val="27"/>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29 sierpnia 1997 r. o ochronie danych osobowych (tj. w szczególności bez imion, nazwisk, adresów, nr PESEL pracowników). Informacje takie jak: data zawarcia umowy, rodzaj umowy o pracę i wymiar etatu powinny być możliwe do zidentyfikowania;</w:t>
      </w:r>
    </w:p>
    <w:p>
      <w:pPr>
        <w:pStyle w:val="Normal"/>
        <w:widowControl/>
        <w:numPr>
          <w:ilvl w:val="1"/>
          <w:numId w:val="27"/>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zaświadczenie właściwego oddziału ZUS, potwierdzające opłacanie przez Wykonawcę lub podwykonawcę składek na ubezpieczenia społeczne i zdrowotne z tytułu zatrudnienia na podstawie umów o pracę za ostatni okres rozliczeniowy;</w:t>
      </w:r>
    </w:p>
    <w:p>
      <w:pPr>
        <w:pStyle w:val="Normal"/>
        <w:widowControl/>
        <w:numPr>
          <w:ilvl w:val="1"/>
          <w:numId w:val="27"/>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29 sierpnia 1997 r. o ochronie danych osobowych.</w:t>
      </w:r>
    </w:p>
    <w:p>
      <w:pPr>
        <w:pStyle w:val="Normal"/>
        <w:widowControl/>
        <w:numPr>
          <w:ilvl w:val="0"/>
          <w:numId w:val="27"/>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Z tytułu niespełnienia przez Wykonawcę lub podwykonawcę wymogu zatrudnienia na podstawie umowy o pracę osób wykonujących wskazane powyżej czynności Zamawiający przewiduje sankcję w postaci obowiązku zapłaty przez wykonawcę kary umownej w wysokości określonej w istotnych postanowieniach umowy w sprawie zamówienia publicznego.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powyżej czynności.</w:t>
      </w:r>
    </w:p>
    <w:p>
      <w:pPr>
        <w:pStyle w:val="Normal"/>
        <w:widowControl/>
        <w:numPr>
          <w:ilvl w:val="0"/>
          <w:numId w:val="27"/>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W przypadku uzasadnionych wątpliwości co do przestrzegania prawa pracy przez Wykonawcę lub podwykonawcę, zamawiający może zwrócić się o przeprowadzenie kontroli przez Państwową Inspekcję Pracy.</w:t>
      </w:r>
    </w:p>
    <w:p>
      <w:pPr>
        <w:pStyle w:val="Normal"/>
        <w:spacing w:lineRule="auto" w:line="360"/>
        <w:jc w:val="both"/>
        <w:rPr>
          <w:rFonts w:ascii="Aptos" w:hAnsi="Aptos"/>
          <w:b/>
          <w:bCs/>
          <w:sz w:val="24"/>
          <w:szCs w:val="24"/>
          <w:highlight w:val="none"/>
          <w:shd w:fill="auto" w:val="clear"/>
        </w:rPr>
      </w:pPr>
      <w:r>
        <w:rPr>
          <w:rFonts w:ascii="Aptos" w:hAnsi="Aptos"/>
          <w:b/>
          <w:bCs/>
          <w:sz w:val="24"/>
          <w:szCs w:val="24"/>
          <w:shd w:fill="auto" w:val="clear"/>
        </w:rPr>
      </w:r>
    </w:p>
    <w:p>
      <w:pPr>
        <w:pStyle w:val="Normal"/>
        <w:numPr>
          <w:ilvl w:val="0"/>
          <w:numId w:val="3"/>
        </w:numPr>
        <w:spacing w:lineRule="auto" w:line="360"/>
        <w:jc w:val="both"/>
        <w:rPr>
          <w:rFonts w:ascii="Aptos" w:hAnsi="Aptos"/>
        </w:rPr>
      </w:pPr>
      <w:r>
        <w:rPr>
          <w:rFonts w:ascii="Aptos" w:hAnsi="Aptos"/>
          <w:b/>
          <w:bCs/>
          <w:sz w:val="24"/>
          <w:szCs w:val="24"/>
          <w:shd w:fill="auto" w:val="clear"/>
        </w:rPr>
        <w:t>Wymagania w zakresie zatrudnienia osób, o których mowa w art. 96 ust. 2 pkt 2, jeżeli zamawiający przewiduje takie wymagania.</w:t>
      </w:r>
    </w:p>
    <w:p>
      <w:pPr>
        <w:pStyle w:val="Normal"/>
        <w:spacing w:lineRule="auto" w:line="360"/>
        <w:jc w:val="both"/>
        <w:rPr>
          <w:rFonts w:ascii="Aptos" w:hAnsi="Aptos"/>
          <w:b w:val="false"/>
          <w:bCs w:val="false"/>
          <w:sz w:val="24"/>
          <w:szCs w:val="24"/>
          <w:shd w:fill="auto" w:val="clear"/>
        </w:rPr>
      </w:pPr>
      <w:r>
        <w:rPr>
          <w:rFonts w:ascii="Aptos" w:hAnsi="Aptos"/>
          <w:b w:val="false"/>
          <w:bCs w:val="false"/>
          <w:sz w:val="24"/>
          <w:szCs w:val="24"/>
          <w:shd w:fill="auto" w:val="clear"/>
        </w:rPr>
      </w:r>
    </w:p>
    <w:p>
      <w:pPr>
        <w:pStyle w:val="Normal"/>
        <w:spacing w:lineRule="auto" w:line="360"/>
        <w:jc w:val="both"/>
        <w:rPr>
          <w:rFonts w:ascii="Aptos" w:hAnsi="Aptos"/>
        </w:rPr>
      </w:pPr>
      <w:r>
        <w:rPr>
          <w:rFonts w:ascii="Aptos" w:hAnsi="Aptos"/>
          <w:b w:val="false"/>
          <w:bCs w:val="false"/>
          <w:sz w:val="24"/>
          <w:szCs w:val="24"/>
          <w:shd w:fill="auto" w:val="clear"/>
        </w:rPr>
        <w:t>Zamawiający nie stawia wymagań w zakresie zatrudnienia na podstawie stosunku pracy, w okolicznościach, o których mowa w art. 96 ust. 2 pkt 2 ustawy Pzp.</w:t>
      </w:r>
    </w:p>
    <w:p>
      <w:pPr>
        <w:pStyle w:val="Normal"/>
        <w:spacing w:lineRule="auto" w:line="360"/>
        <w:jc w:val="both"/>
        <w:rPr>
          <w:rFonts w:ascii="Aptos" w:hAnsi="Aptos"/>
          <w:b/>
          <w:bCs/>
          <w:sz w:val="24"/>
          <w:szCs w:val="24"/>
          <w:highlight w:val="none"/>
          <w:shd w:fill="auto" w:val="clear"/>
        </w:rPr>
      </w:pPr>
      <w:r>
        <w:rPr>
          <w:rFonts w:ascii="Aptos" w:hAnsi="Aptos"/>
          <w:b/>
          <w:bCs/>
          <w:sz w:val="24"/>
          <w:szCs w:val="24"/>
          <w:shd w:fill="auto" w:val="clear"/>
        </w:rPr>
      </w:r>
    </w:p>
    <w:p>
      <w:pPr>
        <w:pStyle w:val="Normal"/>
        <w:numPr>
          <w:ilvl w:val="0"/>
          <w:numId w:val="3"/>
        </w:numPr>
        <w:spacing w:lineRule="auto" w:line="360"/>
        <w:jc w:val="both"/>
        <w:rPr>
          <w:rFonts w:ascii="Aptos" w:hAnsi="Aptos"/>
        </w:rPr>
      </w:pPr>
      <w:r>
        <w:rPr>
          <w:rFonts w:ascii="Aptos" w:hAnsi="Aptos"/>
          <w:b/>
          <w:bCs/>
          <w:sz w:val="24"/>
          <w:szCs w:val="24"/>
          <w:shd w:fill="auto" w:val="clear"/>
        </w:rPr>
        <w:t>Informację o zastrzeżeniu możliwości ubiegania się o udzielenie zamówienia wyłącznie przez wykonawców, o których mowa w art. 94, jeżeli zamawiający przewiduje takie wymagania.</w:t>
      </w:r>
    </w:p>
    <w:p>
      <w:pPr>
        <w:pStyle w:val="Normal"/>
        <w:spacing w:lineRule="auto" w:line="360"/>
        <w:jc w:val="both"/>
        <w:rPr>
          <w:rFonts w:ascii="Aptos" w:hAnsi="Aptos"/>
          <w:b w:val="false"/>
          <w:bCs w:val="false"/>
          <w:sz w:val="24"/>
          <w:szCs w:val="24"/>
          <w:shd w:fill="auto" w:val="clear"/>
        </w:rPr>
      </w:pPr>
      <w:r>
        <w:rPr>
          <w:rFonts w:ascii="Aptos" w:hAnsi="Aptos"/>
          <w:b w:val="false"/>
          <w:bCs w:val="false"/>
          <w:sz w:val="24"/>
          <w:szCs w:val="24"/>
          <w:shd w:fill="auto" w:val="clear"/>
        </w:rPr>
      </w:r>
    </w:p>
    <w:p>
      <w:pPr>
        <w:pStyle w:val="Normal"/>
        <w:spacing w:lineRule="auto" w:line="360"/>
        <w:jc w:val="both"/>
        <w:rPr>
          <w:rFonts w:ascii="Aptos" w:hAnsi="Aptos"/>
        </w:rPr>
      </w:pPr>
      <w:r>
        <w:rPr>
          <w:rFonts w:ascii="Aptos" w:hAnsi="Aptos"/>
          <w:b w:val="false"/>
          <w:bCs w:val="false"/>
          <w:sz w:val="24"/>
          <w:szCs w:val="24"/>
          <w:shd w:fill="auto" w:val="clear"/>
        </w:rPr>
        <w:t>Zamawiający nie stawia wymagań w zakresie ubiegania się o udzielenie zamówienia wyłącznie przez wykonawców, o których mowa w art. 94 Pzp.</w:t>
      </w:r>
    </w:p>
    <w:p>
      <w:pPr>
        <w:pStyle w:val="Normal"/>
        <w:spacing w:lineRule="auto" w:line="360"/>
        <w:jc w:val="both"/>
        <w:rPr>
          <w:rFonts w:ascii="Aptos" w:hAnsi="Aptos"/>
          <w:b/>
          <w:bCs/>
          <w:sz w:val="24"/>
          <w:szCs w:val="24"/>
          <w:highlight w:val="none"/>
          <w:shd w:fill="auto" w:val="clear"/>
        </w:rPr>
      </w:pPr>
      <w:r>
        <w:rPr>
          <w:rFonts w:ascii="Aptos" w:hAnsi="Aptos"/>
          <w:b/>
          <w:bCs/>
          <w:sz w:val="24"/>
          <w:szCs w:val="24"/>
          <w:shd w:fill="auto" w:val="clear"/>
        </w:rPr>
      </w:r>
    </w:p>
    <w:p>
      <w:pPr>
        <w:pStyle w:val="Normal"/>
        <w:numPr>
          <w:ilvl w:val="0"/>
          <w:numId w:val="3"/>
        </w:numPr>
        <w:spacing w:lineRule="auto" w:line="360"/>
        <w:jc w:val="both"/>
        <w:rPr>
          <w:rFonts w:ascii="Aptos" w:hAnsi="Aptos"/>
        </w:rPr>
      </w:pPr>
      <w:r>
        <w:rPr>
          <w:rFonts w:ascii="Aptos" w:hAnsi="Aptos"/>
          <w:b/>
          <w:bCs/>
          <w:sz w:val="24"/>
          <w:szCs w:val="24"/>
          <w:shd w:fill="auto" w:val="clear"/>
        </w:rPr>
        <w:t>Informację o obowiązku osobistego wykonania przez wykonawcę kluczowych zadań, jeżeli zamawiający dokonuje takiego zastrzeżenia zgodnie z art. 60 i art. 121.</w:t>
      </w:r>
    </w:p>
    <w:p>
      <w:pPr>
        <w:pStyle w:val="Normal"/>
        <w:spacing w:lineRule="auto" w:line="360"/>
        <w:jc w:val="both"/>
        <w:rPr>
          <w:rFonts w:ascii="Aptos" w:hAnsi="Aptos"/>
          <w:b w:val="false"/>
          <w:bCs w:val="false"/>
          <w:sz w:val="24"/>
          <w:szCs w:val="24"/>
          <w:shd w:fill="auto" w:val="clear"/>
        </w:rPr>
      </w:pPr>
      <w:r>
        <w:rPr>
          <w:rFonts w:ascii="Aptos" w:hAnsi="Aptos"/>
          <w:b w:val="false"/>
          <w:bCs w:val="false"/>
          <w:sz w:val="24"/>
          <w:szCs w:val="24"/>
          <w:shd w:fill="auto" w:val="clear"/>
        </w:rPr>
      </w:r>
    </w:p>
    <w:p>
      <w:pPr>
        <w:pStyle w:val="Normal"/>
        <w:spacing w:lineRule="auto" w:line="360"/>
        <w:jc w:val="both"/>
        <w:rPr>
          <w:rFonts w:ascii="Aptos" w:hAnsi="Aptos"/>
        </w:rPr>
      </w:pPr>
      <w:r>
        <w:rPr>
          <w:rFonts w:ascii="Aptos" w:hAnsi="Aptos"/>
          <w:b w:val="false"/>
          <w:bCs w:val="false"/>
          <w:sz w:val="24"/>
          <w:szCs w:val="24"/>
          <w:shd w:fill="auto" w:val="clear"/>
        </w:rPr>
        <w:t>Zamawiający nie zastrzega obowiązku osobistego wykonania przez wykonawcę kluczowych zadań.</w:t>
      </w:r>
    </w:p>
    <w:p>
      <w:pPr>
        <w:pStyle w:val="Normal"/>
        <w:spacing w:lineRule="auto" w:line="360"/>
        <w:jc w:val="both"/>
        <w:rPr>
          <w:rFonts w:ascii="Aptos" w:hAnsi="Aptos"/>
          <w:b/>
          <w:bCs/>
          <w:sz w:val="24"/>
          <w:szCs w:val="24"/>
          <w:highlight w:val="none"/>
          <w:shd w:fill="auto" w:val="clear"/>
        </w:rPr>
      </w:pPr>
      <w:r>
        <w:rPr>
          <w:rFonts w:ascii="Aptos" w:hAnsi="Aptos"/>
          <w:b/>
          <w:bCs/>
          <w:sz w:val="24"/>
          <w:szCs w:val="24"/>
          <w:shd w:fill="auto" w:val="clear"/>
        </w:rPr>
      </w:r>
    </w:p>
    <w:p>
      <w:pPr>
        <w:pStyle w:val="Normal"/>
        <w:numPr>
          <w:ilvl w:val="0"/>
          <w:numId w:val="3"/>
        </w:numPr>
        <w:spacing w:lineRule="auto" w:line="360"/>
        <w:jc w:val="both"/>
        <w:rPr>
          <w:rFonts w:ascii="Aptos" w:hAnsi="Aptos"/>
        </w:rPr>
      </w:pPr>
      <w:r>
        <w:rPr>
          <w:rFonts w:ascii="Aptos" w:hAnsi="Aptos"/>
          <w:b/>
          <w:bCs/>
          <w:sz w:val="24"/>
          <w:szCs w:val="24"/>
          <w:shd w:fill="auto" w:val="clear"/>
        </w:rPr>
        <w:t>Wymóg lub możliwość złożenia ofert w postaci katalogów elektronicznych lub dołączenia katalogów elektronicznych do oferty, w sytuacji określonej w art. 93.</w:t>
      </w:r>
    </w:p>
    <w:p>
      <w:pPr>
        <w:pStyle w:val="Normal"/>
        <w:spacing w:lineRule="auto" w:line="360"/>
        <w:jc w:val="both"/>
        <w:rPr>
          <w:rFonts w:ascii="Aptos" w:hAnsi="Aptos"/>
        </w:rPr>
      </w:pPr>
      <w:r>
        <w:rPr>
          <w:rFonts w:ascii="Aptos" w:hAnsi="Aptos"/>
          <w:b w:val="false"/>
          <w:bCs w:val="false"/>
          <w:sz w:val="24"/>
          <w:szCs w:val="24"/>
          <w:shd w:fill="auto" w:val="clear"/>
        </w:rPr>
        <w:t>Zamawiający nie dopuszcza możliwości złożenia oferty w postaci katalogów elektronicznych.</w:t>
      </w:r>
    </w:p>
    <w:p>
      <w:pPr>
        <w:pStyle w:val="Normal"/>
        <w:spacing w:lineRule="auto" w:line="360"/>
        <w:jc w:val="both"/>
        <w:rPr>
          <w:rFonts w:ascii="Aptos" w:hAnsi="Aptos"/>
          <w:b/>
          <w:bCs/>
          <w:sz w:val="24"/>
          <w:szCs w:val="24"/>
          <w:highlight w:val="none"/>
          <w:shd w:fill="auto" w:val="clear"/>
        </w:rPr>
      </w:pPr>
      <w:r>
        <w:rPr>
          <w:rFonts w:ascii="Aptos" w:hAnsi="Aptos"/>
          <w:b/>
          <w:bCs/>
          <w:sz w:val="24"/>
          <w:szCs w:val="24"/>
          <w:shd w:fill="auto" w:val="clear"/>
        </w:rPr>
      </w:r>
    </w:p>
    <w:p>
      <w:pPr>
        <w:pStyle w:val="Normal"/>
        <w:numPr>
          <w:ilvl w:val="0"/>
          <w:numId w:val="3"/>
        </w:numPr>
        <w:spacing w:lineRule="auto" w:line="360"/>
        <w:jc w:val="both"/>
        <w:rPr>
          <w:rFonts w:ascii="Aptos" w:hAnsi="Aptos"/>
        </w:rPr>
      </w:pPr>
      <w:r>
        <w:rPr>
          <w:rFonts w:ascii="Aptos" w:hAnsi="Aptos"/>
          <w:b/>
          <w:bCs/>
          <w:sz w:val="24"/>
          <w:szCs w:val="24"/>
          <w:shd w:fill="auto" w:val="clear"/>
        </w:rPr>
        <w:t>Inne istotne informacje dla prowadzonego postępowania</w:t>
      </w:r>
    </w:p>
    <w:p>
      <w:pPr>
        <w:pStyle w:val="Normal"/>
        <w:spacing w:lineRule="auto" w:line="360"/>
        <w:jc w:val="both"/>
        <w:rPr>
          <w:rFonts w:ascii="Aptos" w:hAnsi="Aptos"/>
          <w:b/>
          <w:bCs/>
          <w:sz w:val="24"/>
          <w:szCs w:val="24"/>
          <w:shd w:fill="auto" w:val="clear"/>
        </w:rPr>
      </w:pPr>
      <w:r>
        <w:rPr>
          <w:rFonts w:ascii="Aptos" w:hAnsi="Aptos"/>
          <w:b/>
          <w:bCs/>
          <w:sz w:val="24"/>
          <w:szCs w:val="24"/>
          <w:shd w:fill="auto" w:val="clear"/>
        </w:rPr>
      </w:r>
    </w:p>
    <w:p>
      <w:pPr>
        <w:pStyle w:val="Normal"/>
        <w:widowControl/>
        <w:numPr>
          <w:ilvl w:val="0"/>
          <w:numId w:val="30"/>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Zamawiający unieważni postępowanie, jeżeli:</w:t>
      </w:r>
    </w:p>
    <w:p>
      <w:pPr>
        <w:pStyle w:val="Normal"/>
        <w:widowControl/>
        <w:numPr>
          <w:ilvl w:val="1"/>
          <w:numId w:val="30"/>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nie złożono żadnej oferty;</w:t>
      </w:r>
    </w:p>
    <w:p>
      <w:pPr>
        <w:pStyle w:val="Normal"/>
        <w:widowControl/>
        <w:numPr>
          <w:ilvl w:val="1"/>
          <w:numId w:val="30"/>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wszystkie złożone oferty podlegały odrzuceniu;</w:t>
      </w:r>
    </w:p>
    <w:p>
      <w:pPr>
        <w:pStyle w:val="Normal"/>
        <w:widowControl/>
        <w:numPr>
          <w:ilvl w:val="1"/>
          <w:numId w:val="30"/>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cena najkorzystniejszej oferty lub oferta z najniższą ceną przewyższa kwotę, którą zamawiający zamierza przeznaczyć na sfinansowanie zamówienia, chyba że zamawiający może zwiększyć tę kwotę do ceny najkorzystniejszej oferty;</w:t>
      </w:r>
    </w:p>
    <w:p>
      <w:pPr>
        <w:pStyle w:val="Normal"/>
        <w:widowControl/>
        <w:numPr>
          <w:ilvl w:val="1"/>
          <w:numId w:val="30"/>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w przypadkach, o których mowa w art. 248 ust. 3, art. 249 i art. 250 ust. 2, Pzp. zostały złożone oferty dodatkowe o takiej samej cenie;</w:t>
      </w:r>
    </w:p>
    <w:p>
      <w:pPr>
        <w:pStyle w:val="Normal"/>
        <w:widowControl/>
        <w:numPr>
          <w:ilvl w:val="1"/>
          <w:numId w:val="30"/>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wystąpiła istotna zmiana okoliczności powodująca, że prowadzenie postępowania lub wykonanie zamówienia nie leży w interesie publicznym, czego nie można było wcześniej przewidzieć;</w:t>
      </w:r>
    </w:p>
    <w:p>
      <w:pPr>
        <w:pStyle w:val="Normal"/>
        <w:widowControl/>
        <w:numPr>
          <w:ilvl w:val="1"/>
          <w:numId w:val="30"/>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postępowanie obarczone jest niemożliwą do usunięcia wadą uniemożliwiającą zawarcie niepodlegającej unieważnieniu umowy w sprawie zamówienia publicznego;</w:t>
      </w:r>
    </w:p>
    <w:p>
      <w:pPr>
        <w:pStyle w:val="Normal"/>
        <w:widowControl/>
        <w:numPr>
          <w:ilvl w:val="1"/>
          <w:numId w:val="30"/>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wykonawca nie wniósł wymaganego zabezpieczenia należytego wykonania umowy lub uchylił się od zawarcia umowy w sprawie zamówienia publicznego, z uwzględnieniem art. 263 Pzp.</w:t>
      </w:r>
    </w:p>
    <w:p>
      <w:pPr>
        <w:pStyle w:val="Normal"/>
        <w:widowControl/>
        <w:numPr>
          <w:ilvl w:val="0"/>
          <w:numId w:val="30"/>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Zamawiający może unieważnić postępowanie o udzielenie zamówienia odpowiednio przed upływem terminu do składania wniosków o dopuszczenie do udziału w postępowaniu albo przed upływem terminu składania ofert, jeżeli wystąpiły okoliczności powodujące, że dalsze prowadzenie postępowania jest nieuzasadnione.</w:t>
      </w:r>
    </w:p>
    <w:p>
      <w:pPr>
        <w:pStyle w:val="Normal"/>
        <w:widowControl/>
        <w:numPr>
          <w:ilvl w:val="0"/>
          <w:numId w:val="30"/>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Zamawiający może unieważnić postępowanie o udzielenie zamówienia, jeżeli środki publiczne, które zamawiający zamierzał przeznaczyć na sfinansowanie całości lub części zamówienia, nie zostały mu przyznane.</w:t>
      </w:r>
    </w:p>
    <w:p>
      <w:pPr>
        <w:pStyle w:val="Normal"/>
        <w:widowControl/>
        <w:numPr>
          <w:ilvl w:val="0"/>
          <w:numId w:val="30"/>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Zamawiający odrzuci ofertę w przypadku zaistnienia przesłanek, o których mowa w art. 226 Pzp tj:</w:t>
      </w:r>
    </w:p>
    <w:p>
      <w:pPr>
        <w:pStyle w:val="Normal"/>
        <w:widowControl/>
        <w:numPr>
          <w:ilvl w:val="1"/>
          <w:numId w:val="30"/>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została złożona po terminie składania ofert;</w:t>
      </w:r>
    </w:p>
    <w:p>
      <w:pPr>
        <w:pStyle w:val="Normal"/>
        <w:widowControl/>
        <w:numPr>
          <w:ilvl w:val="1"/>
          <w:numId w:val="30"/>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została złożona przez wykonawcę:</w:t>
      </w:r>
    </w:p>
    <w:p>
      <w:pPr>
        <w:pStyle w:val="Normal"/>
        <w:widowControl/>
        <w:numPr>
          <w:ilvl w:val="2"/>
          <w:numId w:val="30"/>
        </w:numPr>
        <w:suppressAutoHyphens w:val="true"/>
        <w:bidi w:val="0"/>
        <w:spacing w:lineRule="auto" w:line="360" w:before="0" w:after="0"/>
        <w:ind w:hanging="340" w:left="1020" w:right="0"/>
        <w:jc w:val="both"/>
        <w:rPr>
          <w:rFonts w:ascii="Aptos" w:hAnsi="Aptos"/>
        </w:rPr>
      </w:pPr>
      <w:r>
        <w:rPr>
          <w:rFonts w:ascii="Aptos" w:hAnsi="Aptos"/>
          <w:b w:val="false"/>
          <w:bCs w:val="false"/>
          <w:sz w:val="24"/>
          <w:szCs w:val="24"/>
          <w:shd w:fill="auto" w:val="clear"/>
        </w:rPr>
        <w:t>podlegającego wykluczeniu z postępowania lub</w:t>
      </w:r>
    </w:p>
    <w:p>
      <w:pPr>
        <w:pStyle w:val="Normal"/>
        <w:widowControl/>
        <w:numPr>
          <w:ilvl w:val="2"/>
          <w:numId w:val="30"/>
        </w:numPr>
        <w:suppressAutoHyphens w:val="true"/>
        <w:bidi w:val="0"/>
        <w:spacing w:lineRule="auto" w:line="360" w:before="0" w:after="0"/>
        <w:ind w:hanging="340" w:left="1020" w:right="0"/>
        <w:jc w:val="both"/>
        <w:rPr>
          <w:rFonts w:ascii="Aptos" w:hAnsi="Aptos"/>
        </w:rPr>
      </w:pPr>
      <w:r>
        <w:rPr>
          <w:rFonts w:ascii="Aptos" w:hAnsi="Aptos"/>
          <w:b w:val="false"/>
          <w:bCs w:val="false"/>
          <w:sz w:val="24"/>
          <w:szCs w:val="24"/>
          <w:shd w:fill="auto" w:val="clear"/>
        </w:rPr>
        <w:t>niespełniającego warunków udziału w postępowaniu, lub</w:t>
      </w:r>
    </w:p>
    <w:p>
      <w:pPr>
        <w:pStyle w:val="Normal"/>
        <w:widowControl/>
        <w:numPr>
          <w:ilvl w:val="2"/>
          <w:numId w:val="30"/>
        </w:numPr>
        <w:suppressAutoHyphens w:val="true"/>
        <w:bidi w:val="0"/>
        <w:spacing w:lineRule="auto" w:line="360" w:before="0" w:after="0"/>
        <w:ind w:hanging="340" w:left="1020" w:right="0"/>
        <w:jc w:val="both"/>
        <w:rPr>
          <w:rFonts w:ascii="Aptos" w:hAnsi="Aptos"/>
        </w:rPr>
      </w:pPr>
      <w:r>
        <w:rPr>
          <w:rFonts w:ascii="Aptos" w:hAnsi="Aptos"/>
          <w:b w:val="false"/>
          <w:bCs w:val="false"/>
          <w:sz w:val="24"/>
          <w:szCs w:val="24"/>
          <w:shd w:fill="auto" w:val="clear"/>
        </w:rPr>
        <w:t>który nie złożył w przewidzianym terminie oświadczenia, o którym mowa w art. 125 ust. 1, Pzp lub podmiotowego środka dowodowego, potwierdzających brak podstaw wykluczenia lub spełnianie warunków udziału w postępowaniu, przedmiotowego środka dowodowego, lub innych dokumentów lub oświadczeń;</w:t>
      </w:r>
    </w:p>
    <w:p>
      <w:pPr>
        <w:pStyle w:val="Normal"/>
        <w:widowControl/>
        <w:numPr>
          <w:ilvl w:val="1"/>
          <w:numId w:val="30"/>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jest niezgodna z przepisami ustawy;</w:t>
      </w:r>
    </w:p>
    <w:p>
      <w:pPr>
        <w:pStyle w:val="Normal"/>
        <w:widowControl/>
        <w:numPr>
          <w:ilvl w:val="1"/>
          <w:numId w:val="30"/>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jest nieważna na podstawie odrębnych przepisów;</w:t>
      </w:r>
    </w:p>
    <w:p>
      <w:pPr>
        <w:pStyle w:val="Normal"/>
        <w:widowControl/>
        <w:numPr>
          <w:ilvl w:val="1"/>
          <w:numId w:val="30"/>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jej treść jest niezgodna z warunkami zamówienia;</w:t>
      </w:r>
    </w:p>
    <w:p>
      <w:pPr>
        <w:pStyle w:val="Normal"/>
        <w:widowControl/>
        <w:numPr>
          <w:ilvl w:val="1"/>
          <w:numId w:val="30"/>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nie została sporządzona lub przekazana w sposób zgodny z wymaganiami technicznymi oraz organizacyjnymi sporządzania lub przekazywania ofert przy użyciu środków komunikacji elektronicznej określonymi przez zamawiającego;</w:t>
      </w:r>
    </w:p>
    <w:p>
      <w:pPr>
        <w:pStyle w:val="Normal"/>
        <w:widowControl/>
        <w:numPr>
          <w:ilvl w:val="1"/>
          <w:numId w:val="30"/>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została złożona w warunkach czynu nieuczciwej konkurencji w rozumieniu ustawy z dnia 16 kwietnia 1993 r. o zwalczaniu nieuczciwej konkurencji;</w:t>
      </w:r>
    </w:p>
    <w:p>
      <w:pPr>
        <w:pStyle w:val="Normal"/>
        <w:widowControl/>
        <w:numPr>
          <w:ilvl w:val="1"/>
          <w:numId w:val="30"/>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zawiera rażąco niską cenę lub koszt w stosunku do przedmiotu zamówienia;</w:t>
      </w:r>
    </w:p>
    <w:p>
      <w:pPr>
        <w:pStyle w:val="Normal"/>
        <w:widowControl/>
        <w:numPr>
          <w:ilvl w:val="1"/>
          <w:numId w:val="30"/>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zawiera błędy w obliczeniu ceny lub kosztu;</w:t>
      </w:r>
    </w:p>
    <w:p>
      <w:pPr>
        <w:pStyle w:val="Normal"/>
        <w:widowControl/>
        <w:numPr>
          <w:ilvl w:val="1"/>
          <w:numId w:val="30"/>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wykonawca w wyznaczonym terminie zakwestionował poprawienie omyłki, o której mowa w art. 223 ust. 2 pkt 3 Pzp;</w:t>
      </w:r>
    </w:p>
    <w:p>
      <w:pPr>
        <w:pStyle w:val="Normal"/>
        <w:widowControl/>
        <w:numPr>
          <w:ilvl w:val="1"/>
          <w:numId w:val="30"/>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 xml:space="preserve"> </w:t>
      </w:r>
      <w:r>
        <w:rPr>
          <w:rFonts w:ascii="Aptos" w:hAnsi="Aptos"/>
          <w:b w:val="false"/>
          <w:bCs w:val="false"/>
          <w:sz w:val="24"/>
          <w:szCs w:val="24"/>
          <w:shd w:fill="auto" w:val="clear"/>
        </w:rPr>
        <w:t>wykonawca nie wyraził pisemnej zgody na przedłużenie terminu związania ofertą;</w:t>
      </w:r>
    </w:p>
    <w:p>
      <w:pPr>
        <w:pStyle w:val="Normal"/>
        <w:widowControl/>
        <w:numPr>
          <w:ilvl w:val="1"/>
          <w:numId w:val="30"/>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wykonawca nie wyraził pisemnej zgody na wybór jego oferty po upływie terminu związania ofertą;</w:t>
      </w:r>
    </w:p>
    <w:p>
      <w:pPr>
        <w:pStyle w:val="Normal"/>
        <w:widowControl/>
        <w:numPr>
          <w:ilvl w:val="1"/>
          <w:numId w:val="30"/>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wykonawca nie wniósł wadium, lub wniósł w sposób nieprawidłowy lub nie utrzymywał wadium nieprzerwanie do upływu terminu związania ofertą lub złożył wniosek o zwrot wadium w przypadku, o którym mowa w art. 98 ust. 2 pkt 3 Pzp;</w:t>
      </w:r>
    </w:p>
    <w:p>
      <w:pPr>
        <w:pStyle w:val="Normal"/>
        <w:widowControl/>
        <w:numPr>
          <w:ilvl w:val="1"/>
          <w:numId w:val="30"/>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jej przyjęcie naruszałoby bezpieczeństwo publiczne lub istotny interes bezpieczeństwa państwa, a tego bezpieczeństwa lub interesu nie można zagwarantować w inny sposób.</w:t>
      </w:r>
    </w:p>
    <w:p>
      <w:pPr>
        <w:pStyle w:val="Normal"/>
        <w:spacing w:lineRule="auto" w:line="360"/>
        <w:jc w:val="both"/>
        <w:rPr>
          <w:rFonts w:ascii="Aptos" w:hAnsi="Aptos"/>
          <w:b/>
          <w:bCs/>
          <w:sz w:val="24"/>
          <w:szCs w:val="24"/>
          <w:shd w:fill="auto" w:val="clear"/>
        </w:rPr>
      </w:pPr>
      <w:r>
        <w:rPr>
          <w:rFonts w:ascii="Aptos" w:hAnsi="Aptos"/>
          <w:b/>
          <w:bCs/>
          <w:sz w:val="24"/>
          <w:szCs w:val="24"/>
          <w:shd w:fill="auto" w:val="clear"/>
        </w:rPr>
      </w:r>
    </w:p>
    <w:p>
      <w:pPr>
        <w:pStyle w:val="Normal"/>
        <w:numPr>
          <w:ilvl w:val="0"/>
          <w:numId w:val="3"/>
        </w:numPr>
        <w:bidi w:val="0"/>
        <w:spacing w:lineRule="auto" w:line="360"/>
        <w:jc w:val="both"/>
        <w:rPr>
          <w:rFonts w:ascii="Aptos" w:hAnsi="Aptos"/>
        </w:rPr>
      </w:pPr>
      <w:r>
        <w:rPr>
          <w:rFonts w:ascii="Aptos" w:hAnsi="Aptos"/>
          <w:b/>
          <w:bCs/>
          <w:sz w:val="24"/>
          <w:szCs w:val="24"/>
          <w:shd w:fill="auto" w:val="clear"/>
        </w:rPr>
        <w:t>Obowiązki w zakresie przetwarzania danych osobowych zgodnie z RODO (dotyczy wykonawców będących osobami fizycznymi)</w:t>
      </w:r>
    </w:p>
    <w:p>
      <w:pPr>
        <w:pStyle w:val="Normal"/>
        <w:spacing w:lineRule="auto" w:line="360"/>
        <w:jc w:val="both"/>
        <w:rPr>
          <w:rFonts w:ascii="Aptos" w:hAnsi="Aptos"/>
          <w:b/>
          <w:bCs/>
          <w:sz w:val="24"/>
          <w:szCs w:val="24"/>
          <w:highlight w:val="none"/>
          <w:shd w:fill="auto" w:val="clear"/>
        </w:rPr>
      </w:pPr>
      <w:r>
        <w:rPr>
          <w:rFonts w:ascii="Aptos" w:hAnsi="Aptos"/>
          <w:b/>
          <w:bCs/>
          <w:sz w:val="24"/>
          <w:szCs w:val="24"/>
          <w:shd w:fill="auto" w:val="clear"/>
        </w:rPr>
      </w:r>
    </w:p>
    <w:p>
      <w:pPr>
        <w:pStyle w:val="Normal"/>
        <w:widowControl/>
        <w:numPr>
          <w:ilvl w:val="0"/>
          <w:numId w:val="31"/>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pPr>
        <w:pStyle w:val="Normal"/>
        <w:widowControl/>
        <w:numPr>
          <w:ilvl w:val="1"/>
          <w:numId w:val="31"/>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administratorem Pani/Pana danych osobowych jest Zamawiający;</w:t>
      </w:r>
    </w:p>
    <w:p>
      <w:pPr>
        <w:pStyle w:val="Normal"/>
        <w:widowControl/>
        <w:numPr>
          <w:ilvl w:val="1"/>
          <w:numId w:val="31"/>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inspektorem ochrony danych osobowych w Gminie Zielonki jest Pan Adam Ziemiński, Centrum Bezpieczeństwa Informatycznego ul. Orląt Lwowskich 13, 22-300 Krasnystaw; e-mail: inspektor@cbi24.pl;</w:t>
      </w:r>
    </w:p>
    <w:p>
      <w:pPr>
        <w:pStyle w:val="Normal"/>
        <w:widowControl/>
        <w:numPr>
          <w:ilvl w:val="1"/>
          <w:numId w:val="31"/>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 xml:space="preserve">Pani/Pana dane osobowe przetwarzane będą na podstawie art. 6 ust. 1 lit. c RODO w celu związanym z przedmiotowym postępowaniem o udzielenie zamówienia publicznego </w:t>
      </w:r>
    </w:p>
    <w:p>
      <w:pPr>
        <w:pStyle w:val="Normal"/>
        <w:widowControl/>
        <w:numPr>
          <w:ilvl w:val="1"/>
          <w:numId w:val="31"/>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Dane osobowe i kategorie Państwa danych osobowych przetwarzane na potrzeby postępowania wynikają bezpośrednio z SWZ, Zamawiający przetwarza w szczególności imię, nazwisko, dane teleadresowe, informacje o kwalifikacjach i doświadczeniu zawodowym, dane zawarte w rejestrach publicznych (KRS, CEIDG);</w:t>
      </w:r>
    </w:p>
    <w:p>
      <w:pPr>
        <w:pStyle w:val="Normal"/>
        <w:widowControl/>
        <w:numPr>
          <w:ilvl w:val="1"/>
          <w:numId w:val="31"/>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Odbiorcami Państwa danych osobowych będą osoby lub podmioty, którym udostępniona zostanie dokumentacja postępowania w oparciu o art. 19 Pzp; a także podmioty przetwarzające działające na zlecenie Zamawiającego (np. dostawcy usług IT, kancelarie prawne) oraz pracownicy i współpracownicy Zamawiającego;</w:t>
      </w:r>
    </w:p>
    <w:p>
      <w:pPr>
        <w:pStyle w:val="Normal"/>
        <w:widowControl/>
        <w:numPr>
          <w:ilvl w:val="1"/>
          <w:numId w:val="31"/>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Państwa dane osobowe będą przechowywane, zgodnie z art. 78 ust. 1 Pzp, przez okres 4 lat od dnia zakończenia postępowania o udzielenie zamówienia, a jeżeli czas trwania umowy przekracza 4 lata, przez odpowiednio dłuższy okres;</w:t>
      </w:r>
    </w:p>
    <w:p>
      <w:pPr>
        <w:pStyle w:val="Normal"/>
        <w:widowControl/>
        <w:numPr>
          <w:ilvl w:val="1"/>
          <w:numId w:val="31"/>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 xml:space="preserve">obowiązek podania danych osobowych bezpośrednio Państwa dotyczących jest wymogiem ustawowym określonym w przepisach Pzp, związanym z udziałem w postępowaniu o udzielenie zamówienia publicznego; konsekwencje niepodania określonych danych wynikają z Pzp; </w:t>
      </w:r>
    </w:p>
    <w:p>
      <w:pPr>
        <w:pStyle w:val="Normal"/>
        <w:widowControl/>
        <w:numPr>
          <w:ilvl w:val="1"/>
          <w:numId w:val="31"/>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w odniesieniu do Państwa danych osobowych decyzje nie będą podejmowane w sposób zautomatyzowany, stosowanie do art. 22 RODO;</w:t>
      </w:r>
    </w:p>
    <w:p>
      <w:pPr>
        <w:pStyle w:val="Normal"/>
        <w:widowControl/>
        <w:numPr>
          <w:ilvl w:val="1"/>
          <w:numId w:val="31"/>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posiadają Państwo:</w:t>
      </w:r>
    </w:p>
    <w:p>
      <w:pPr>
        <w:pStyle w:val="Normal"/>
        <w:widowControl/>
        <w:numPr>
          <w:ilvl w:val="2"/>
          <w:numId w:val="31"/>
        </w:numPr>
        <w:suppressAutoHyphens w:val="true"/>
        <w:bidi w:val="0"/>
        <w:spacing w:lineRule="auto" w:line="360" w:before="0" w:after="0"/>
        <w:ind w:hanging="340" w:left="1020" w:right="0"/>
        <w:jc w:val="both"/>
        <w:rPr>
          <w:rFonts w:ascii="Aptos" w:hAnsi="Aptos"/>
        </w:rPr>
      </w:pPr>
      <w:r>
        <w:rPr>
          <w:rFonts w:ascii="Aptos" w:hAnsi="Aptos"/>
          <w:b w:val="false"/>
          <w:bCs w:val="false"/>
          <w:sz w:val="24"/>
          <w:szCs w:val="24"/>
          <w:shd w:fill="auto" w:val="clear"/>
        </w:rPr>
        <w:t>na podstawie art. 15 RODO prawo dostępu do danych osobowych Państwa dotyczących;</w:t>
      </w:r>
    </w:p>
    <w:p>
      <w:pPr>
        <w:pStyle w:val="Normal"/>
        <w:widowControl/>
        <w:numPr>
          <w:ilvl w:val="2"/>
          <w:numId w:val="31"/>
        </w:numPr>
        <w:suppressAutoHyphens w:val="true"/>
        <w:bidi w:val="0"/>
        <w:spacing w:lineRule="auto" w:line="360" w:before="0" w:after="0"/>
        <w:ind w:hanging="340" w:left="1020" w:right="0"/>
        <w:jc w:val="both"/>
        <w:rPr>
          <w:rFonts w:ascii="Aptos" w:hAnsi="Aptos"/>
        </w:rPr>
      </w:pPr>
      <w:r>
        <w:rPr>
          <w:rFonts w:ascii="Aptos" w:hAnsi="Aptos"/>
          <w:b w:val="false"/>
          <w:bCs w:val="false"/>
          <w:sz w:val="24"/>
          <w:szCs w:val="24"/>
          <w:shd w:fill="auto" w:val="clear"/>
        </w:rPr>
        <w:t xml:space="preserve">na podstawie art. 16 RODO prawo do sprostowania Państwa danych osobowych; </w:t>
      </w:r>
    </w:p>
    <w:p>
      <w:pPr>
        <w:pStyle w:val="Normal"/>
        <w:widowControl/>
        <w:numPr>
          <w:ilvl w:val="2"/>
          <w:numId w:val="31"/>
        </w:numPr>
        <w:suppressAutoHyphens w:val="true"/>
        <w:bidi w:val="0"/>
        <w:spacing w:lineRule="auto" w:line="360" w:before="0" w:after="0"/>
        <w:ind w:hanging="340" w:left="1020" w:right="0"/>
        <w:jc w:val="both"/>
        <w:rPr>
          <w:rFonts w:ascii="Aptos" w:hAnsi="Aptos"/>
        </w:rPr>
      </w:pPr>
      <w:r>
        <w:rPr>
          <w:rFonts w:ascii="Aptos" w:hAnsi="Aptos"/>
          <w:b w:val="false"/>
          <w:bCs w:val="false"/>
          <w:sz w:val="24"/>
          <w:szCs w:val="24"/>
          <w:shd w:fill="auto" w:val="clear"/>
        </w:rPr>
        <w:t xml:space="preserve">na podstawie art. 18 RODO prawo żądania od administratora ograniczenia przetwarzania danych osobowych z zastrzeżeniem przypadków, o których mowa w art. 18 ust. 2 RODO; </w:t>
      </w:r>
    </w:p>
    <w:p>
      <w:pPr>
        <w:pStyle w:val="Normal"/>
        <w:widowControl/>
        <w:numPr>
          <w:ilvl w:val="2"/>
          <w:numId w:val="31"/>
        </w:numPr>
        <w:suppressAutoHyphens w:val="true"/>
        <w:bidi w:val="0"/>
        <w:spacing w:lineRule="auto" w:line="360" w:before="0" w:after="0"/>
        <w:ind w:hanging="340" w:left="1020" w:right="0"/>
        <w:jc w:val="both"/>
        <w:rPr>
          <w:rFonts w:ascii="Aptos" w:hAnsi="Aptos"/>
        </w:rPr>
      </w:pPr>
      <w:r>
        <w:rPr>
          <w:rFonts w:ascii="Aptos" w:hAnsi="Aptos"/>
          <w:b w:val="false"/>
          <w:bCs w:val="false"/>
          <w:sz w:val="24"/>
          <w:szCs w:val="24"/>
          <w:shd w:fill="auto" w:val="clear"/>
        </w:rPr>
        <w:t>prawo do wniesienia skargi do Prezesa Urzędu Ochrony Danych Osobowych, gdy uznają Państwo, że przetwarzanie danych osobowych Państwa dotyczących narusza przepisy RODO;</w:t>
      </w:r>
    </w:p>
    <w:p>
      <w:pPr>
        <w:pStyle w:val="Normal"/>
        <w:widowControl/>
        <w:numPr>
          <w:ilvl w:val="1"/>
          <w:numId w:val="31"/>
        </w:numPr>
        <w:suppressAutoHyphens w:val="true"/>
        <w:bidi w:val="0"/>
        <w:spacing w:lineRule="auto" w:line="360" w:before="0" w:after="0"/>
        <w:ind w:hanging="340" w:left="680" w:right="0"/>
        <w:jc w:val="both"/>
        <w:rPr>
          <w:rFonts w:ascii="Aptos" w:hAnsi="Aptos"/>
        </w:rPr>
      </w:pPr>
      <w:r>
        <w:rPr>
          <w:rFonts w:ascii="Aptos" w:hAnsi="Aptos"/>
          <w:b w:val="false"/>
          <w:bCs w:val="false"/>
          <w:sz w:val="24"/>
          <w:szCs w:val="24"/>
          <w:shd w:fill="auto" w:val="clear"/>
        </w:rPr>
        <w:t>przysługuje Państwu:</w:t>
      </w:r>
    </w:p>
    <w:p>
      <w:pPr>
        <w:pStyle w:val="Normal"/>
        <w:widowControl/>
        <w:numPr>
          <w:ilvl w:val="2"/>
          <w:numId w:val="31"/>
        </w:numPr>
        <w:suppressAutoHyphens w:val="true"/>
        <w:bidi w:val="0"/>
        <w:spacing w:lineRule="auto" w:line="360" w:before="0" w:after="0"/>
        <w:ind w:hanging="340" w:left="1020" w:right="0"/>
        <w:jc w:val="both"/>
        <w:rPr>
          <w:rFonts w:ascii="Aptos" w:hAnsi="Aptos"/>
        </w:rPr>
      </w:pPr>
      <w:r>
        <w:rPr>
          <w:rFonts w:ascii="Aptos" w:hAnsi="Aptos"/>
          <w:b w:val="false"/>
          <w:bCs w:val="false"/>
          <w:sz w:val="24"/>
          <w:szCs w:val="24"/>
          <w:shd w:fill="auto" w:val="clear"/>
        </w:rPr>
        <w:t>w związku z art. 17 ust. 3 lit. b, d lub e RODO prawo do usunięcia danych osobowych;</w:t>
      </w:r>
    </w:p>
    <w:p>
      <w:pPr>
        <w:pStyle w:val="Normal"/>
        <w:widowControl/>
        <w:numPr>
          <w:ilvl w:val="2"/>
          <w:numId w:val="31"/>
        </w:numPr>
        <w:suppressAutoHyphens w:val="true"/>
        <w:bidi w:val="0"/>
        <w:spacing w:lineRule="auto" w:line="360" w:before="0" w:after="0"/>
        <w:ind w:hanging="340" w:left="1020" w:right="0"/>
        <w:jc w:val="both"/>
        <w:rPr>
          <w:rFonts w:ascii="Aptos" w:hAnsi="Aptos"/>
        </w:rPr>
      </w:pPr>
      <w:r>
        <w:rPr>
          <w:rFonts w:ascii="Aptos" w:hAnsi="Aptos"/>
          <w:b w:val="false"/>
          <w:bCs w:val="false"/>
          <w:sz w:val="24"/>
          <w:szCs w:val="24"/>
          <w:shd w:fill="auto" w:val="clear"/>
        </w:rPr>
        <w:t>prawo do przenoszenia danych osobowych, o którym mowa w art. 20 RODO;</w:t>
      </w:r>
    </w:p>
    <w:p>
      <w:pPr>
        <w:pStyle w:val="Normal"/>
        <w:widowControl/>
        <w:numPr>
          <w:ilvl w:val="2"/>
          <w:numId w:val="31"/>
        </w:numPr>
        <w:suppressAutoHyphens w:val="true"/>
        <w:bidi w:val="0"/>
        <w:spacing w:lineRule="auto" w:line="360" w:before="0" w:after="0"/>
        <w:ind w:hanging="340" w:left="1020" w:right="0"/>
        <w:jc w:val="both"/>
        <w:rPr>
          <w:rFonts w:ascii="Aptos" w:hAnsi="Aptos"/>
        </w:rPr>
      </w:pPr>
      <w:r>
        <w:rPr>
          <w:rFonts w:ascii="Aptos" w:hAnsi="Aptos"/>
          <w:b w:val="false"/>
          <w:bCs w:val="false"/>
          <w:sz w:val="24"/>
          <w:szCs w:val="24"/>
          <w:shd w:fill="auto" w:val="clear"/>
        </w:rPr>
        <w:t>na podstawie art. 21 RODO prawo sprzeciwu, wobec przetwarzania danych osobowych, gdyż podstawą prawną przetwarzania Państwa danych osobowych jest art. 6 ust. 1 lit. c RODO.</w:t>
      </w:r>
    </w:p>
    <w:p>
      <w:pPr>
        <w:pStyle w:val="Normal"/>
        <w:widowControl/>
        <w:numPr>
          <w:ilvl w:val="0"/>
          <w:numId w:val="31"/>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Zamawiający udostępnia dane osobowe, o których mowa w art. 10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zwanego dalej "rozporządzeniem 2016/679", w celu umożliwienia korzystania ze środków ochrony prawnej, o których mowa w dziale XXI niniejszej SWZ, do upływu terminu do ich wniesienia.</w:t>
      </w:r>
    </w:p>
    <w:p>
      <w:pPr>
        <w:pStyle w:val="Normal"/>
        <w:widowControl/>
        <w:numPr>
          <w:ilvl w:val="0"/>
          <w:numId w:val="31"/>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Zamawiający wykonuje obowiązki informacyjne dotyczące przetwarzania danych osobowych oraz obowiązki zapewnienia dostępu do przetwarzanych danych osobowych zgodnie z art. 19 Pzp.</w:t>
      </w:r>
    </w:p>
    <w:p>
      <w:pPr>
        <w:pStyle w:val="Normal"/>
        <w:widowControl/>
        <w:numPr>
          <w:ilvl w:val="0"/>
          <w:numId w:val="31"/>
        </w:numPr>
        <w:suppressAutoHyphens w:val="true"/>
        <w:bidi w:val="0"/>
        <w:spacing w:lineRule="auto" w:line="360" w:before="0" w:after="0"/>
        <w:ind w:hanging="340" w:left="340" w:right="0"/>
        <w:jc w:val="both"/>
        <w:rPr>
          <w:rFonts w:ascii="Aptos" w:hAnsi="Aptos"/>
        </w:rPr>
      </w:pPr>
      <w:r>
        <w:rPr>
          <w:rFonts w:ascii="Aptos" w:hAnsi="Aptos"/>
          <w:b w:val="false"/>
          <w:bCs w:val="false"/>
          <w:sz w:val="24"/>
          <w:szCs w:val="24"/>
          <w:shd w:fill="auto" w:val="clear"/>
        </w:rPr>
        <w:t>Zamawiający informuje o ograniczeniach stosowania przepisów rozporządzenia 2016/679: 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 W postępowaniu o udzielenie zamówienia zgłoszenie żądania ograniczenia przetwarzania, o którym mowa w art. 18 ust. 1 rozporządzenia 2016/679, nie ogranicza przetwarzania danych osobowych do czasu zakończenia tego postępowania.</w:t>
      </w:r>
    </w:p>
    <w:p>
      <w:pPr>
        <w:pStyle w:val="Normal"/>
        <w:spacing w:lineRule="auto" w:line="360"/>
        <w:jc w:val="both"/>
        <w:rPr>
          <w:rFonts w:ascii="Aptos" w:hAnsi="Aptos"/>
          <w:b/>
          <w:bCs/>
          <w:sz w:val="24"/>
          <w:szCs w:val="24"/>
          <w:highlight w:val="none"/>
          <w:shd w:fill="auto" w:val="clear"/>
        </w:rPr>
      </w:pPr>
      <w:r>
        <w:rPr>
          <w:rFonts w:ascii="Aptos" w:hAnsi="Aptos"/>
          <w:b/>
          <w:bCs/>
          <w:sz w:val="24"/>
          <w:szCs w:val="24"/>
          <w:shd w:fill="auto" w:val="clear"/>
        </w:rPr>
      </w:r>
    </w:p>
    <w:p>
      <w:pPr>
        <w:pStyle w:val="Normal"/>
        <w:spacing w:lineRule="auto" w:line="360"/>
        <w:jc w:val="both"/>
        <w:rPr>
          <w:rFonts w:ascii="Aptos" w:hAnsi="Aptos"/>
          <w:b/>
          <w:bCs/>
          <w:sz w:val="24"/>
          <w:szCs w:val="24"/>
          <w:highlight w:val="none"/>
          <w:shd w:fill="auto" w:val="clear"/>
        </w:rPr>
      </w:pPr>
      <w:r>
        <w:rPr>
          <w:rFonts w:ascii="Aptos" w:hAnsi="Aptos"/>
          <w:b/>
          <w:bCs/>
          <w:sz w:val="24"/>
          <w:szCs w:val="24"/>
          <w:shd w:fill="auto" w:val="clear"/>
        </w:rPr>
      </w:r>
    </w:p>
    <w:p>
      <w:pPr>
        <w:pStyle w:val="Normal"/>
        <w:tabs>
          <w:tab w:val="clear" w:pos="720"/>
          <w:tab w:val="left" w:pos="851" w:leader="none"/>
        </w:tabs>
        <w:overflowPunct w:val="false"/>
        <w:spacing w:lineRule="auto" w:line="360" w:before="0" w:after="0"/>
        <w:jc w:val="both"/>
        <w:rPr>
          <w:rFonts w:ascii="Aptos" w:hAnsi="Aptos"/>
        </w:rPr>
      </w:pPr>
      <w:r>
        <w:rPr>
          <w:rFonts w:ascii="Aptos" w:hAnsi="Aptos"/>
        </w:rPr>
        <w:t>Załączniki do niniejszej SWZ:</w:t>
      </w:r>
    </w:p>
    <w:p>
      <w:pPr>
        <w:pStyle w:val="Normal"/>
        <w:numPr>
          <w:ilvl w:val="0"/>
          <w:numId w:val="12"/>
        </w:numPr>
        <w:tabs>
          <w:tab w:val="clear" w:pos="720"/>
          <w:tab w:val="left" w:pos="851" w:leader="none"/>
        </w:tabs>
        <w:overflowPunct w:val="false"/>
        <w:spacing w:lineRule="auto" w:line="360" w:before="0" w:after="0"/>
        <w:jc w:val="both"/>
        <w:rPr>
          <w:rFonts w:ascii="Aptos" w:hAnsi="Aptos"/>
        </w:rPr>
      </w:pPr>
      <w:r>
        <w:rPr>
          <w:rFonts w:ascii="Aptos" w:hAnsi="Aptos"/>
        </w:rPr>
        <w:t>wzór zawierający istotne postanowienia umowy;</w:t>
      </w:r>
    </w:p>
    <w:p>
      <w:pPr>
        <w:pStyle w:val="Normal"/>
        <w:numPr>
          <w:ilvl w:val="0"/>
          <w:numId w:val="12"/>
        </w:numPr>
        <w:tabs>
          <w:tab w:val="clear" w:pos="720"/>
          <w:tab w:val="left" w:pos="851" w:leader="none"/>
        </w:tabs>
        <w:overflowPunct w:val="false"/>
        <w:spacing w:lineRule="auto" w:line="360" w:before="0" w:after="0"/>
        <w:jc w:val="both"/>
        <w:rPr>
          <w:rFonts w:ascii="Aptos" w:hAnsi="Aptos"/>
        </w:rPr>
      </w:pPr>
      <w:r>
        <w:rPr>
          <w:rFonts w:ascii="Aptos" w:hAnsi="Aptos"/>
        </w:rPr>
        <w:t>przedmiar i kosztorys ofertowy;</w:t>
      </w:r>
    </w:p>
    <w:p>
      <w:pPr>
        <w:pStyle w:val="Normal"/>
        <w:numPr>
          <w:ilvl w:val="0"/>
          <w:numId w:val="12"/>
        </w:numPr>
        <w:tabs>
          <w:tab w:val="clear" w:pos="720"/>
          <w:tab w:val="left" w:pos="851" w:leader="none"/>
        </w:tabs>
        <w:overflowPunct w:val="false"/>
        <w:spacing w:lineRule="auto" w:line="360" w:before="0" w:after="0"/>
        <w:jc w:val="both"/>
        <w:rPr>
          <w:rFonts w:ascii="Aptos" w:hAnsi="Aptos"/>
        </w:rPr>
      </w:pPr>
      <w:r>
        <w:rPr>
          <w:rFonts w:ascii="Aptos" w:hAnsi="Aptos"/>
        </w:rPr>
        <w:t>oświadczenie o spełnieniu warunków udziału w postępowaniu;</w:t>
      </w:r>
    </w:p>
    <w:p>
      <w:pPr>
        <w:pStyle w:val="Normal"/>
        <w:numPr>
          <w:ilvl w:val="0"/>
          <w:numId w:val="12"/>
        </w:numPr>
        <w:tabs>
          <w:tab w:val="clear" w:pos="720"/>
          <w:tab w:val="left" w:pos="851" w:leader="none"/>
        </w:tabs>
        <w:overflowPunct w:val="false"/>
        <w:spacing w:lineRule="auto" w:line="360" w:before="0" w:after="0"/>
        <w:jc w:val="both"/>
        <w:rPr>
          <w:rFonts w:ascii="Aptos" w:hAnsi="Aptos"/>
        </w:rPr>
      </w:pPr>
      <w:r>
        <w:rPr>
          <w:rFonts w:ascii="Aptos" w:hAnsi="Aptos"/>
        </w:rPr>
        <w:t>oświadczenie dotyczące przesłanek wykluczenia z postępowania;</w:t>
      </w:r>
    </w:p>
    <w:p>
      <w:pPr>
        <w:pStyle w:val="Normal"/>
        <w:numPr>
          <w:ilvl w:val="0"/>
          <w:numId w:val="12"/>
        </w:numPr>
        <w:tabs>
          <w:tab w:val="clear" w:pos="720"/>
          <w:tab w:val="left" w:pos="851" w:leader="none"/>
        </w:tabs>
        <w:overflowPunct w:val="false"/>
        <w:spacing w:lineRule="auto" w:line="360" w:before="0" w:after="0"/>
        <w:jc w:val="both"/>
        <w:rPr>
          <w:rFonts w:ascii="Aptos" w:hAnsi="Aptos"/>
        </w:rPr>
      </w:pPr>
      <w:r>
        <w:rPr>
          <w:rFonts w:ascii="Aptos" w:hAnsi="Aptos"/>
        </w:rPr>
        <w:t>oświadczenie podmiotu udostępniającego zasoby;</w:t>
      </w:r>
    </w:p>
    <w:p>
      <w:pPr>
        <w:pStyle w:val="Normal"/>
        <w:numPr>
          <w:ilvl w:val="0"/>
          <w:numId w:val="12"/>
        </w:numPr>
        <w:tabs>
          <w:tab w:val="clear" w:pos="720"/>
          <w:tab w:val="left" w:pos="851" w:leader="none"/>
        </w:tabs>
        <w:overflowPunct w:val="false"/>
        <w:spacing w:lineRule="auto" w:line="360" w:before="0" w:after="0"/>
        <w:jc w:val="both"/>
        <w:rPr>
          <w:rFonts w:ascii="Aptos" w:hAnsi="Aptos"/>
        </w:rPr>
      </w:pPr>
      <w:r>
        <w:rPr>
          <w:rFonts w:ascii="Aptos" w:hAnsi="Aptos"/>
        </w:rPr>
        <w:t>oświadczenie o aktualności informacji;</w:t>
      </w:r>
    </w:p>
    <w:p>
      <w:pPr>
        <w:pStyle w:val="Normal"/>
        <w:numPr>
          <w:ilvl w:val="0"/>
          <w:numId w:val="12"/>
        </w:numPr>
        <w:tabs>
          <w:tab w:val="clear" w:pos="720"/>
          <w:tab w:val="left" w:pos="851" w:leader="none"/>
        </w:tabs>
        <w:overflowPunct w:val="false"/>
        <w:spacing w:lineRule="auto" w:line="360" w:before="0" w:after="0"/>
        <w:jc w:val="both"/>
        <w:rPr>
          <w:rFonts w:ascii="Aptos" w:hAnsi="Aptos"/>
        </w:rPr>
      </w:pPr>
      <w:r>
        <w:rPr>
          <w:rFonts w:ascii="Aptos" w:hAnsi="Aptos"/>
        </w:rPr>
        <w:t>oświadczenie o braku przynależności do tej samej grupy kapitałowej;</w:t>
      </w:r>
    </w:p>
    <w:p>
      <w:pPr>
        <w:pStyle w:val="Normal"/>
        <w:numPr>
          <w:ilvl w:val="0"/>
          <w:numId w:val="12"/>
        </w:numPr>
        <w:tabs>
          <w:tab w:val="clear" w:pos="720"/>
          <w:tab w:val="left" w:pos="851" w:leader="none"/>
        </w:tabs>
        <w:overflowPunct w:val="false"/>
        <w:spacing w:lineRule="auto" w:line="360" w:before="0" w:after="0"/>
        <w:jc w:val="both"/>
        <w:rPr>
          <w:rFonts w:ascii="Aptos" w:hAnsi="Aptos"/>
          <w:strike/>
        </w:rPr>
      </w:pPr>
      <w:r>
        <w:rPr>
          <w:rFonts w:ascii="Aptos" w:hAnsi="Aptos"/>
          <w:strike/>
        </w:rPr>
        <w:t>dokumentacja projektowa;</w:t>
      </w:r>
    </w:p>
    <w:p>
      <w:pPr>
        <w:pStyle w:val="Normal"/>
        <w:numPr>
          <w:ilvl w:val="0"/>
          <w:numId w:val="12"/>
        </w:numPr>
        <w:tabs>
          <w:tab w:val="clear" w:pos="720"/>
          <w:tab w:val="left" w:pos="851" w:leader="none"/>
        </w:tabs>
        <w:overflowPunct w:val="false"/>
        <w:spacing w:lineRule="auto" w:line="360" w:before="0" w:after="0"/>
        <w:jc w:val="both"/>
        <w:rPr>
          <w:rFonts w:ascii="Aptos" w:hAnsi="Aptos"/>
        </w:rPr>
      </w:pPr>
      <w:r>
        <w:rPr>
          <w:rFonts w:ascii="Aptos" w:hAnsi="Aptos"/>
        </w:rPr>
        <w:t>specyfikacje techniczne wykonania i odbioru robót budowlanych;</w:t>
      </w:r>
    </w:p>
    <w:p>
      <w:pPr>
        <w:pStyle w:val="Normal"/>
        <w:numPr>
          <w:ilvl w:val="0"/>
          <w:numId w:val="12"/>
        </w:numPr>
        <w:tabs>
          <w:tab w:val="clear" w:pos="720"/>
          <w:tab w:val="left" w:pos="851" w:leader="none"/>
        </w:tabs>
        <w:overflowPunct w:val="false"/>
        <w:spacing w:lineRule="auto" w:line="360" w:before="0" w:after="0"/>
        <w:jc w:val="both"/>
        <w:rPr>
          <w:rFonts w:ascii="Aptos" w:hAnsi="Aptos"/>
        </w:rPr>
      </w:pPr>
      <w:r>
        <w:rPr>
          <w:rFonts w:ascii="Aptos" w:hAnsi="Aptos"/>
        </w:rPr>
        <w:t>wykaz zrealizowanych robót budowlanych;</w:t>
      </w:r>
    </w:p>
    <w:p>
      <w:pPr>
        <w:pStyle w:val="Normal"/>
        <w:numPr>
          <w:ilvl w:val="0"/>
          <w:numId w:val="12"/>
        </w:numPr>
        <w:tabs>
          <w:tab w:val="clear" w:pos="720"/>
          <w:tab w:val="left" w:pos="851" w:leader="none"/>
        </w:tabs>
        <w:overflowPunct w:val="false"/>
        <w:spacing w:lineRule="auto" w:line="360" w:before="0" w:after="0"/>
        <w:jc w:val="both"/>
        <w:rPr>
          <w:rFonts w:ascii="Aptos" w:hAnsi="Aptos"/>
        </w:rPr>
      </w:pPr>
      <w:r>
        <w:rPr>
          <w:rFonts w:ascii="Aptos" w:hAnsi="Aptos"/>
        </w:rPr>
        <w:t>wykaz osób</w:t>
      </w:r>
    </w:p>
    <w:p>
      <w:pPr>
        <w:pStyle w:val="Normal"/>
        <w:numPr>
          <w:ilvl w:val="0"/>
          <w:numId w:val="12"/>
        </w:numPr>
        <w:tabs>
          <w:tab w:val="clear" w:pos="720"/>
          <w:tab w:val="left" w:pos="851" w:leader="none"/>
        </w:tabs>
        <w:overflowPunct w:val="false"/>
        <w:spacing w:lineRule="auto" w:line="360" w:before="0" w:after="0"/>
        <w:jc w:val="both"/>
        <w:rPr>
          <w:rFonts w:ascii="Aptos" w:hAnsi="Aptos"/>
        </w:rPr>
      </w:pPr>
      <w:r>
        <w:rPr>
          <w:rFonts w:ascii="Aptos" w:hAnsi="Aptos"/>
        </w:rPr>
        <w:t>wykaz narzędzi i urządzeń.</w:t>
      </w:r>
    </w:p>
    <w:sectPr>
      <w:footerReference w:type="even" r:id="rId6"/>
      <w:footerReference w:type="default" r:id="rId7"/>
      <w:footerReference w:type="first" r:id="rId8"/>
      <w:footnotePr>
        <w:numFmt w:val="decimal"/>
      </w:footnotePr>
      <w:type w:val="nextPage"/>
      <w:pgSz w:w="11906" w:h="16838"/>
      <w:pgMar w:left="1134" w:right="1134" w:gutter="0" w:header="0" w:top="1134" w:footer="1134" w:bottom="1693"/>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Liberation Sans">
    <w:altName w:val="Arial"/>
    <w:charset w:val="01"/>
    <w:family w:val="swiss"/>
    <w:pitch w:val="default"/>
  </w:font>
  <w:font w:name="OpenSymbol">
    <w:altName w:val="Arial Unicode MS"/>
    <w:charset w:val="01"/>
    <w:family w:val="swiss"/>
    <w:pitch w:val="default"/>
  </w:font>
  <w:font w:name="Aptos">
    <w:charset w:val="01"/>
    <w:family w:val="swiss"/>
    <w:pitch w:val="default"/>
  </w:font>
  <w:font w:name="Calibri">
    <w:charset w:val="01"/>
    <w:family w:val="swiss"/>
    <w:pitch w:val="default"/>
  </w:font>
  <w:font w:name="Arial">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47</w:t>
    </w:r>
    <w:r>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47</w:t>
    </w:r>
    <w:r>
      <w:rPr/>
      <w:fldChar w:fldCharType="end"/>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rPr/>
      </w:pPr>
      <w:r>
        <w:rPr>
          <w:rStyle w:val="Znakiprzypiswdolnych"/>
        </w:rPr>
        <w:footnoteRef/>
      </w:r>
      <w:r>
        <w:rPr/>
        <w:tab/>
        <w:t>jeżeli wynika to z dokumentacji lub decyzji administracyjnych</w:t>
      </w:r>
    </w:p>
  </w:footnote>
  <w:footnote w:id="3">
    <w:p>
      <w:pPr>
        <w:pStyle w:val="FootnoteText"/>
        <w:rPr/>
      </w:pPr>
      <w:r>
        <w:rPr>
          <w:rStyle w:val="Znakiprzypiswdolnych"/>
        </w:rPr>
        <w:footnoteRef/>
      </w:r>
      <w:r>
        <w:rPr/>
        <w:tab/>
        <w:t>jeśli zostanie wyznaczony</w:t>
      </w:r>
    </w:p>
  </w:footnote>
  <w:footnote w:id="4">
    <w:p>
      <w:pPr>
        <w:pStyle w:val="FootnoteText"/>
        <w:rPr/>
      </w:pPr>
      <w:r>
        <w:rPr>
          <w:rStyle w:val="Znakiprzypiswdolnych"/>
        </w:rPr>
        <w:footnoteRef/>
      </w:r>
      <w:r>
        <w:rPr/>
        <w:tab/>
        <w:t>jeśli zostanie wyznaczony</w:t>
      </w:r>
    </w:p>
  </w:footnote>
  <w:footnote w:id="5">
    <w:p>
      <w:pPr>
        <w:pStyle w:val="FootnoteText"/>
        <w:bidi w:val="0"/>
        <w:rPr/>
      </w:pPr>
      <w:r>
        <w:rPr>
          <w:rStyle w:val="Znakiprzypiswdolnych"/>
        </w:rPr>
        <w:footnoteRef/>
      </w:r>
      <w:r>
        <w:rPr/>
        <w:tab/>
        <w:t>jeżeli wynika to z dokumentacji lub decyzji administracyjnych</w:t>
      </w:r>
    </w:p>
  </w:footnote>
  <w:footnote w:id="6">
    <w:p>
      <w:pPr>
        <w:pStyle w:val="FootnoteText"/>
        <w:rPr/>
      </w:pPr>
      <w:r>
        <w:rPr>
          <w:rStyle w:val="Znakiprzypiswdolnych"/>
        </w:rPr>
        <w:footnoteRef/>
      </w:r>
      <w:r>
        <w:rPr/>
        <w:tab/>
        <w:t>jeśli zostanie wyznaczony</w:t>
      </w:r>
    </w:p>
  </w:footnote>
  <w:footnote w:id="7">
    <w:p>
      <w:pPr>
        <w:pStyle w:val="FootnoteText"/>
        <w:rPr/>
      </w:pPr>
      <w:r>
        <w:rPr>
          <w:rStyle w:val="Znakiprzypiswdolnych"/>
        </w:rPr>
        <w:footnoteRef/>
      </w:r>
      <w:r>
        <w:rPr/>
        <w:tab/>
        <w:t>jeżeli wynika to z dokumentacji lub decyzji administracyjnych</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3">
    <w:lvl w:ilvl="0">
      <w:start w:val="1"/>
      <w:numFmt w:val="upperRoman"/>
      <w:lvlText w:val="%1."/>
      <w:lvlJc w:val="left"/>
      <w:pPr>
        <w:tabs>
          <w:tab w:val="num" w:pos="720"/>
        </w:tabs>
        <w:ind w:left="720" w:hanging="360"/>
      </w:pPr>
      <w:rPr>
        <w:b w:val="false"/>
        <w:bCs w:val="false"/>
        <w:rFonts w:ascii="Calibri" w:hAnsi="Calibri"/>
      </w:rPr>
    </w:lvl>
    <w:lvl w:ilvl="1">
      <w:start w:val="1"/>
      <w:numFmt w:val="decimal"/>
      <w:lvlText w:val="%2."/>
      <w:lvlJc w:val="left"/>
      <w:pPr>
        <w:tabs>
          <w:tab w:val="num" w:pos="1080"/>
        </w:tabs>
        <w:ind w:left="1080" w:hanging="360"/>
      </w:pPr>
      <w:rPr>
        <w:rFonts w:ascii="Calibri" w:hAnsi="Calibri"/>
      </w:rPr>
    </w:lvl>
    <w:lvl w:ilvl="2">
      <w:start w:val="1"/>
      <w:numFmt w:val="decimal"/>
      <w:lvlText w:val="%3)"/>
      <w:lvlJc w:val="left"/>
      <w:pPr>
        <w:tabs>
          <w:tab w:val="num" w:pos="1440"/>
        </w:tabs>
        <w:ind w:left="1440" w:hanging="360"/>
      </w:pPr>
      <w:rPr>
        <w:rFonts w:ascii="Calibri" w:hAnsi="Calibri"/>
      </w:rPr>
    </w:lvl>
    <w:lvl w:ilvl="3">
      <w:start w:val="1"/>
      <w:numFmt w:val="lowerLetter"/>
      <w:lvlText w:val="%4)"/>
      <w:lvlJc w:val="left"/>
      <w:pPr>
        <w:tabs>
          <w:tab w:val="num" w:pos="1800"/>
        </w:tabs>
        <w:ind w:left="1800" w:hanging="360"/>
      </w:pPr>
      <w:rPr>
        <w:rFonts w:ascii="Calibri" w:hAnsi="Calibri"/>
      </w:rPr>
    </w:lvl>
    <w:lvl w:ilvl="4">
      <w:start w:val="1"/>
      <w:numFmt w:val="lowerLetter"/>
      <w:lvlText w:val="(%5)"/>
      <w:lvlJc w:val="left"/>
      <w:pPr>
        <w:tabs>
          <w:tab w:val="num" w:pos="2160"/>
        </w:tabs>
        <w:ind w:left="2160" w:hanging="360"/>
      </w:pPr>
      <w:rPr/>
    </w:lvl>
    <w:lvl w:ilvl="5">
      <w:start w:val="1"/>
      <w:numFmt w:val="upperRoman"/>
      <w:lvlText w:val="%6."/>
      <w:lvlJc w:val="left"/>
      <w:pPr>
        <w:tabs>
          <w:tab w:val="num" w:pos="2520"/>
        </w:tabs>
        <w:ind w:left="2520" w:hanging="360"/>
      </w:pPr>
      <w:rPr/>
    </w:lvl>
    <w:lvl w:ilvl="6">
      <w:start w:val="1"/>
      <w:numFmt w:val="upperRoman"/>
      <w:lvlText w:val="%7."/>
      <w:lvlJc w:val="left"/>
      <w:pPr>
        <w:tabs>
          <w:tab w:val="num" w:pos="2880"/>
        </w:tabs>
        <w:ind w:left="2880" w:hanging="360"/>
      </w:pPr>
      <w:rPr/>
    </w:lvl>
    <w:lvl w:ilvl="7">
      <w:start w:val="1"/>
      <w:numFmt w:val="upperRoman"/>
      <w:lvlText w:val="%8."/>
      <w:lvlJc w:val="left"/>
      <w:pPr>
        <w:tabs>
          <w:tab w:val="num" w:pos="3240"/>
        </w:tabs>
        <w:ind w:left="3240" w:hanging="360"/>
      </w:pPr>
      <w:rPr/>
    </w:lvl>
    <w:lvl w:ilvl="8">
      <w:start w:val="1"/>
      <w:numFmt w:val="upperRoman"/>
      <w:lvlText w:val="%9."/>
      <w:lvlJc w:val="left"/>
      <w:pPr>
        <w:tabs>
          <w:tab w:val="num" w:pos="3600"/>
        </w:tabs>
        <w:ind w:left="3600" w:hanging="360"/>
      </w:pPr>
      <w:rPr/>
    </w:lvl>
  </w:abstractNum>
  <w:abstractNum w:abstractNumId="4">
    <w:lvl w:ilvl="0">
      <w:start w:val="1"/>
      <w:numFmt w:val="decimal"/>
      <w:lvlText w:val="%1."/>
      <w:lvlJc w:val="left"/>
      <w:pPr>
        <w:tabs>
          <w:tab w:val="num" w:pos="720"/>
        </w:tabs>
        <w:ind w:left="720" w:hanging="360"/>
      </w:pPr>
      <w:rPr>
        <w:rFonts w:ascii="Calibri" w:hAnsi="Calibri"/>
      </w:rPr>
    </w:lvl>
    <w:lvl w:ilvl="1">
      <w:start w:val="1"/>
      <w:numFmt w:val="decimal"/>
      <w:lvlText w:val="%2)"/>
      <w:lvlJc w:val="left"/>
      <w:pPr>
        <w:tabs>
          <w:tab w:val="num" w:pos="1080"/>
        </w:tabs>
        <w:ind w:left="1080" w:hanging="360"/>
      </w:pPr>
      <w:rPr>
        <w:rFonts w:ascii="Calibri" w:hAnsi="Calibri"/>
      </w:rPr>
    </w:lvl>
    <w:lvl w:ilvl="2">
      <w:start w:val="1"/>
      <w:numFmt w:val="lowerLetter"/>
      <w:lvlText w:val="%3)"/>
      <w:lvlJc w:val="left"/>
      <w:pPr>
        <w:tabs>
          <w:tab w:val="num" w:pos="1440"/>
        </w:tabs>
        <w:ind w:left="1440" w:hanging="360"/>
      </w:pPr>
      <w:rPr>
        <w:rFonts w:ascii="Calibri" w:hAnsi="Calibri"/>
      </w:rPr>
    </w:lvl>
    <w:lvl w:ilvl="3">
      <w:start w:val="1"/>
      <w:numFmt w:val="lowerRoman"/>
      <w:lvlText w:val="%4."/>
      <w:lvlJc w:val="left"/>
      <w:pPr>
        <w:tabs>
          <w:tab w:val="num" w:pos="1800"/>
        </w:tabs>
        <w:ind w:left="1800" w:hanging="360"/>
      </w:pPr>
      <w:rPr>
        <w:rFonts w:ascii="Calibri" w:hAnsi="Calibri"/>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decimal"/>
      <w:lvlText w:val="%1."/>
      <w:lvlJc w:val="left"/>
      <w:pPr>
        <w:tabs>
          <w:tab w:val="num" w:pos="720"/>
        </w:tabs>
        <w:ind w:left="720" w:hanging="360"/>
      </w:pPr>
      <w:rPr>
        <w:rFonts w:ascii="Calibri" w:hAnsi="Calibri"/>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6">
    <w:lvl w:ilvl="0">
      <w:start w:val="1"/>
      <w:numFmt w:val="decimal"/>
      <w:lvlText w:val="%1."/>
      <w:lvlJc w:val="left"/>
      <w:pPr>
        <w:tabs>
          <w:tab w:val="num" w:pos="720"/>
        </w:tabs>
        <w:ind w:left="720" w:hanging="360"/>
      </w:pPr>
      <w:rPr>
        <w:rFonts w:ascii="Calibri" w:hAnsi="Calibri"/>
      </w:rPr>
    </w:lvl>
    <w:lvl w:ilvl="1">
      <w:start w:val="1"/>
      <w:numFmt w:val="decimal"/>
      <w:lvlText w:val="%2)"/>
      <w:lvlJc w:val="left"/>
      <w:pPr>
        <w:tabs>
          <w:tab w:val="num" w:pos="1080"/>
        </w:tabs>
        <w:ind w:left="1080" w:hanging="360"/>
      </w:pPr>
      <w:rPr>
        <w:rFonts w:ascii="Calibri" w:hAnsi="Calibri"/>
      </w:rPr>
    </w:lvl>
    <w:lvl w:ilvl="2">
      <w:start w:val="1"/>
      <w:numFmt w:val="lowerLetter"/>
      <w:lvlText w:val="%3)"/>
      <w:lvlJc w:val="left"/>
      <w:pPr>
        <w:tabs>
          <w:tab w:val="num" w:pos="1440"/>
        </w:tabs>
        <w:ind w:left="1440" w:hanging="360"/>
      </w:pPr>
      <w:rPr>
        <w:rFonts w:ascii="Calibri" w:hAnsi="Calibri"/>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7">
    <w:lvl w:ilvl="0">
      <w:start w:val="1"/>
      <w:numFmt w:val="decimal"/>
      <w:lvlText w:val="%1."/>
      <w:lvlJc w:val="left"/>
      <w:pPr>
        <w:tabs>
          <w:tab w:val="num" w:pos="720"/>
        </w:tabs>
        <w:ind w:left="720" w:hanging="360"/>
      </w:pPr>
      <w:rPr>
        <w:rFonts w:ascii="Calibri" w:hAnsi="Calibri"/>
      </w:rPr>
    </w:lvl>
    <w:lvl w:ilvl="1">
      <w:start w:val="1"/>
      <w:numFmt w:val="decimal"/>
      <w:lvlText w:val="%2)"/>
      <w:lvlJc w:val="left"/>
      <w:pPr>
        <w:tabs>
          <w:tab w:val="num" w:pos="1080"/>
        </w:tabs>
        <w:ind w:left="1080" w:hanging="360"/>
      </w:pPr>
      <w:rPr/>
    </w:lvl>
    <w:lvl w:ilvl="2">
      <w:start w:val="1"/>
      <w:numFmt w:val="lowerLetter"/>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8">
    <w:lvl w:ilvl="0">
      <w:start w:val="1"/>
      <w:numFmt w:val="decimal"/>
      <w:lvlText w:val="%1."/>
      <w:lvlJc w:val="left"/>
      <w:pPr>
        <w:tabs>
          <w:tab w:val="num" w:pos="720"/>
        </w:tabs>
        <w:ind w:left="720" w:hanging="360"/>
      </w:pPr>
      <w:rPr>
        <w:rFonts w:ascii="Calibri" w:hAnsi="Calibri"/>
      </w:rPr>
    </w:lvl>
    <w:lvl w:ilvl="1">
      <w:start w:val="1"/>
      <w:numFmt w:val="lowerLetter"/>
      <w:lvlText w:val="%2)"/>
      <w:lvlJc w:val="left"/>
      <w:pPr>
        <w:tabs>
          <w:tab w:val="num" w:pos="1080"/>
        </w:tabs>
        <w:ind w:left="1080" w:hanging="360"/>
      </w:pPr>
      <w:rPr>
        <w:rFonts w:ascii="Calibri" w:hAnsi="Calibri"/>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9">
    <w:lvl w:ilvl="0">
      <w:start w:val="1"/>
      <w:numFmt w:val="decimal"/>
      <w:lvlText w:val="%1)"/>
      <w:lvlJc w:val="left"/>
      <w:pPr>
        <w:tabs>
          <w:tab w:val="num" w:pos="0"/>
        </w:tabs>
        <w:ind w:left="1077" w:hanging="360"/>
      </w:pPr>
      <w:rPr>
        <w:sz w:val="24"/>
        <w:szCs w:val="24"/>
        <w:rFonts w:ascii="Calibri" w:hAnsi="Calibri" w:cs="Calibri"/>
        <w:color w:val="auto"/>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0">
    <w:lvl w:ilvl="0">
      <w:start w:val="1"/>
      <w:numFmt w:val="decimal"/>
      <w:lvlText w:val="%1."/>
      <w:lvlJc w:val="left"/>
      <w:pPr>
        <w:tabs>
          <w:tab w:val="num" w:pos="0"/>
        </w:tabs>
        <w:ind w:left="360" w:hanging="360"/>
      </w:pPr>
      <w:rPr>
        <w:sz w:val="24"/>
        <w:szCs w:val="24"/>
        <w:rFonts w:ascii="Calibri" w:hAnsi="Calibri" w:cs="Cambria"/>
        <w:color w:val="auto"/>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1211" w:hanging="360"/>
      </w:pPr>
      <w:rPr>
        <w:rFonts w:ascii="Calibri" w:hAnsi="Calibri"/>
      </w:rPr>
    </w:lvl>
    <w:lvl w:ilvl="1">
      <w:start w:val="1"/>
      <w:numFmt w:val="lowerLetter"/>
      <w:lvlText w:val="%2."/>
      <w:lvlJc w:val="left"/>
      <w:pPr>
        <w:tabs>
          <w:tab w:val="num" w:pos="0"/>
        </w:tabs>
        <w:ind w:left="1931" w:hanging="360"/>
      </w:pPr>
      <w:rPr/>
    </w:lvl>
    <w:lvl w:ilvl="2">
      <w:start w:val="1"/>
      <w:numFmt w:val="lowerRoman"/>
      <w:lvlText w:val="%3."/>
      <w:lvlJc w:val="right"/>
      <w:pPr>
        <w:tabs>
          <w:tab w:val="num" w:pos="0"/>
        </w:tabs>
        <w:ind w:left="2651" w:hanging="180"/>
      </w:pPr>
      <w:rPr/>
    </w:lvl>
    <w:lvl w:ilvl="3">
      <w:start w:val="1"/>
      <w:numFmt w:val="decimal"/>
      <w:lvlText w:val="%4."/>
      <w:lvlJc w:val="left"/>
      <w:pPr>
        <w:tabs>
          <w:tab w:val="num" w:pos="0"/>
        </w:tabs>
        <w:ind w:left="3371" w:hanging="360"/>
      </w:pPr>
      <w:rPr/>
    </w:lvl>
    <w:lvl w:ilvl="4">
      <w:start w:val="1"/>
      <w:numFmt w:val="lowerLetter"/>
      <w:lvlText w:val="%5."/>
      <w:lvlJc w:val="left"/>
      <w:pPr>
        <w:tabs>
          <w:tab w:val="num" w:pos="0"/>
        </w:tabs>
        <w:ind w:left="4091" w:hanging="360"/>
      </w:pPr>
      <w:rPr/>
    </w:lvl>
    <w:lvl w:ilvl="5">
      <w:start w:val="1"/>
      <w:numFmt w:val="lowerRoman"/>
      <w:lvlText w:val="%6."/>
      <w:lvlJc w:val="right"/>
      <w:pPr>
        <w:tabs>
          <w:tab w:val="num" w:pos="0"/>
        </w:tabs>
        <w:ind w:left="4811" w:hanging="180"/>
      </w:pPr>
      <w:rPr/>
    </w:lvl>
    <w:lvl w:ilvl="6">
      <w:start w:val="1"/>
      <w:numFmt w:val="decimal"/>
      <w:lvlText w:val="%7."/>
      <w:lvlJc w:val="left"/>
      <w:pPr>
        <w:tabs>
          <w:tab w:val="num" w:pos="0"/>
        </w:tabs>
        <w:ind w:left="5531" w:hanging="360"/>
      </w:pPr>
      <w:rPr/>
    </w:lvl>
    <w:lvl w:ilvl="7">
      <w:start w:val="1"/>
      <w:numFmt w:val="lowerLetter"/>
      <w:lvlText w:val="%8."/>
      <w:lvlJc w:val="left"/>
      <w:pPr>
        <w:tabs>
          <w:tab w:val="num" w:pos="0"/>
        </w:tabs>
        <w:ind w:left="6251" w:hanging="360"/>
      </w:pPr>
      <w:rPr/>
    </w:lvl>
    <w:lvl w:ilvl="8">
      <w:start w:val="1"/>
      <w:numFmt w:val="lowerRoman"/>
      <w:lvlText w:val="%9."/>
      <w:lvlJc w:val="right"/>
      <w:pPr>
        <w:tabs>
          <w:tab w:val="num" w:pos="0"/>
        </w:tabs>
        <w:ind w:left="6971" w:hanging="180"/>
      </w:pPr>
      <w:rPr/>
    </w:lvl>
  </w:abstractNum>
  <w:abstractNum w:abstractNumId="12">
    <w:lvl w:ilvl="0">
      <w:start w:val="1"/>
      <w:numFmt w:val="decimal"/>
      <w:lvlText w:val="%1."/>
      <w:lvlJc w:val="left"/>
      <w:pPr>
        <w:tabs>
          <w:tab w:val="num" w:pos="720"/>
        </w:tabs>
        <w:ind w:left="720" w:hanging="360"/>
      </w:pPr>
      <w:rPr>
        <w:rFonts w:ascii="Calibri" w:hAnsi="Calibri"/>
      </w:rPr>
    </w:lvl>
    <w:lvl w:ilvl="1">
      <w:start w:val="1"/>
      <w:numFmt w:val="decimal"/>
      <w:lvlText w:val="%2."/>
      <w:lvlJc w:val="left"/>
      <w:pPr>
        <w:tabs>
          <w:tab w:val="num" w:pos="1080"/>
        </w:tabs>
        <w:ind w:left="1080" w:hanging="360"/>
      </w:pPr>
      <w:rPr>
        <w:rFonts w:ascii="Arial" w:hAnsi="Arial"/>
      </w:rPr>
    </w:lvl>
    <w:lvl w:ilvl="2">
      <w:start w:val="1"/>
      <w:numFmt w:val="decimal"/>
      <w:lvlText w:val="%3."/>
      <w:lvlJc w:val="left"/>
      <w:pPr>
        <w:tabs>
          <w:tab w:val="num" w:pos="1440"/>
        </w:tabs>
        <w:ind w:left="1440" w:hanging="360"/>
      </w:pPr>
      <w:rPr>
        <w:rFonts w:ascii="Arial" w:hAnsi="Arial"/>
      </w:rPr>
    </w:lvl>
    <w:lvl w:ilvl="3">
      <w:start w:val="1"/>
      <w:numFmt w:val="decimal"/>
      <w:lvlText w:val="%4."/>
      <w:lvlJc w:val="left"/>
      <w:pPr>
        <w:tabs>
          <w:tab w:val="num" w:pos="1800"/>
        </w:tabs>
        <w:ind w:left="1800" w:hanging="360"/>
      </w:pPr>
      <w:rPr>
        <w:rFonts w:ascii="Arial" w:hAnsi="Arial"/>
      </w:rPr>
    </w:lvl>
    <w:lvl w:ilvl="4">
      <w:start w:val="1"/>
      <w:numFmt w:val="decimal"/>
      <w:lvlText w:val="%5."/>
      <w:lvlJc w:val="left"/>
      <w:pPr>
        <w:tabs>
          <w:tab w:val="num" w:pos="2160"/>
        </w:tabs>
        <w:ind w:left="2160" w:hanging="360"/>
      </w:pPr>
      <w:rPr>
        <w:rFonts w:ascii="Arial" w:hAnsi="Arial"/>
      </w:rPr>
    </w:lvl>
    <w:lvl w:ilvl="5">
      <w:start w:val="1"/>
      <w:numFmt w:val="decimal"/>
      <w:lvlText w:val="%6."/>
      <w:lvlJc w:val="left"/>
      <w:pPr>
        <w:tabs>
          <w:tab w:val="num" w:pos="2520"/>
        </w:tabs>
        <w:ind w:left="2520" w:hanging="360"/>
      </w:pPr>
      <w:rPr>
        <w:rFonts w:ascii="Arial" w:hAnsi="Arial"/>
      </w:rPr>
    </w:lvl>
    <w:lvl w:ilvl="6">
      <w:start w:val="1"/>
      <w:numFmt w:val="decimal"/>
      <w:lvlText w:val="%7."/>
      <w:lvlJc w:val="left"/>
      <w:pPr>
        <w:tabs>
          <w:tab w:val="num" w:pos="2880"/>
        </w:tabs>
        <w:ind w:left="2880" w:hanging="360"/>
      </w:pPr>
      <w:rPr>
        <w:rFonts w:ascii="Arial" w:hAnsi="Arial"/>
      </w:rPr>
    </w:lvl>
    <w:lvl w:ilvl="7">
      <w:start w:val="1"/>
      <w:numFmt w:val="decimal"/>
      <w:lvlText w:val="%8."/>
      <w:lvlJc w:val="left"/>
      <w:pPr>
        <w:tabs>
          <w:tab w:val="num" w:pos="3240"/>
        </w:tabs>
        <w:ind w:left="3240" w:hanging="360"/>
      </w:pPr>
      <w:rPr>
        <w:rFonts w:ascii="Arial" w:hAnsi="Arial"/>
      </w:rPr>
    </w:lvl>
    <w:lvl w:ilvl="8">
      <w:start w:val="1"/>
      <w:numFmt w:val="decimal"/>
      <w:lvlText w:val="%9."/>
      <w:lvlJc w:val="left"/>
      <w:pPr>
        <w:tabs>
          <w:tab w:val="num" w:pos="3600"/>
        </w:tabs>
        <w:ind w:left="3600" w:hanging="360"/>
      </w:pPr>
      <w:rPr>
        <w:rFonts w:ascii="Arial" w:hAnsi="Arial"/>
      </w:rPr>
    </w:lvl>
  </w:abstractNum>
  <w:abstractNum w:abstractNumId="13">
    <w:lvl w:ilvl="0">
      <w:start w:val="1"/>
      <w:numFmt w:val="decimal"/>
      <w:lvlText w:val="%1."/>
      <w:lvlJc w:val="left"/>
      <w:pPr>
        <w:tabs>
          <w:tab w:val="num" w:pos="720"/>
        </w:tabs>
        <w:ind w:left="720" w:hanging="360"/>
      </w:pPr>
      <w:rPr>
        <w:rFonts w:ascii="Calibri" w:hAnsi="Calibri"/>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4">
    <w:lvl w:ilvl="0">
      <w:start w:val="1"/>
      <w:numFmt w:val="decimal"/>
      <w:lvlText w:val="%1."/>
      <w:lvlJc w:val="left"/>
      <w:pPr>
        <w:tabs>
          <w:tab w:val="num" w:pos="720"/>
        </w:tabs>
        <w:ind w:left="720" w:hanging="360"/>
      </w:pPr>
      <w:rPr>
        <w:rFonts w:ascii="Calibri" w:hAnsi="Calibri"/>
      </w:rPr>
    </w:lvl>
    <w:lvl w:ilvl="1">
      <w:start w:val="1"/>
      <w:numFmt w:val="decimal"/>
      <w:lvlText w:val="%2)"/>
      <w:lvlJc w:val="left"/>
      <w:pPr>
        <w:tabs>
          <w:tab w:val="num" w:pos="1080"/>
        </w:tabs>
        <w:ind w:left="1080" w:hanging="360"/>
      </w:pPr>
      <w:rPr>
        <w:rFonts w:ascii="Calibri" w:hAnsi="Calibri"/>
      </w:rPr>
    </w:lvl>
    <w:lvl w:ilvl="2">
      <w:start w:val="1"/>
      <w:numFmt w:val="lowerLetter"/>
      <w:lvlText w:val="%3)"/>
      <w:lvlJc w:val="left"/>
      <w:pPr>
        <w:tabs>
          <w:tab w:val="num" w:pos="1440"/>
        </w:tabs>
        <w:ind w:left="1440" w:hanging="360"/>
      </w:pPr>
      <w:rPr>
        <w:rFonts w:ascii="Calibri" w:hAnsi="Calibri"/>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5">
    <w:lvl w:ilvl="0">
      <w:start w:val="1"/>
      <w:numFmt w:val="decimal"/>
      <w:lvlText w:val="%1)"/>
      <w:lvlJc w:val="left"/>
      <w:pPr>
        <w:tabs>
          <w:tab w:val="num" w:pos="720"/>
        </w:tabs>
        <w:ind w:left="720" w:hanging="360"/>
      </w:pPr>
      <w:rPr>
        <w:dstrike w:val="false"/>
        <w:strike w:val="false"/>
        <w:rFonts w:ascii="Calibri" w:hAnsi="Calibri"/>
      </w:rPr>
    </w:lvl>
    <w:lvl w:ilvl="1">
      <w:start w:val="1"/>
      <w:numFmt w:val="lowerLetter"/>
      <w:lvlText w:val="%2)"/>
      <w:lvlJc w:val="left"/>
      <w:pPr>
        <w:tabs>
          <w:tab w:val="num" w:pos="1080"/>
        </w:tabs>
        <w:ind w:left="1080" w:hanging="360"/>
      </w:pPr>
      <w:rPr>
        <w:rFonts w:ascii="Calibri" w:hAnsi="Calibri"/>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6">
    <w:lvl w:ilvl="0">
      <w:start w:val="1"/>
      <w:numFmt w:val="decimal"/>
      <w:lvlText w:val="%1."/>
      <w:lvlJc w:val="left"/>
      <w:pPr>
        <w:tabs>
          <w:tab w:val="num" w:pos="720"/>
        </w:tabs>
        <w:ind w:left="720" w:hanging="360"/>
      </w:pPr>
      <w:rPr>
        <w:rFonts w:ascii="Calibri" w:hAnsi="Calibri"/>
      </w:rPr>
    </w:lvl>
    <w:lvl w:ilvl="1">
      <w:start w:val="1"/>
      <w:numFmt w:val="decimal"/>
      <w:lvlText w:val="%2)"/>
      <w:lvlJc w:val="left"/>
      <w:pPr>
        <w:tabs>
          <w:tab w:val="num" w:pos="1080"/>
        </w:tabs>
        <w:ind w:left="1080" w:hanging="360"/>
      </w:pPr>
      <w:rPr>
        <w:rFonts w:ascii="Calibri" w:hAnsi="Calibri"/>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7">
    <w:lvl w:ilvl="0">
      <w:start w:val="1"/>
      <w:numFmt w:val="decimal"/>
      <w:lvlText w:val="%1."/>
      <w:lvlJc w:val="left"/>
      <w:pPr>
        <w:tabs>
          <w:tab w:val="num" w:pos="720"/>
        </w:tabs>
        <w:ind w:left="720" w:hanging="360"/>
      </w:pPr>
      <w:rPr>
        <w:rFonts w:ascii="Calibri" w:hAnsi="Calibri"/>
      </w:rPr>
    </w:lvl>
    <w:lvl w:ilvl="1">
      <w:start w:val="1"/>
      <w:numFmt w:val="decimal"/>
      <w:lvlText w:val="%2)"/>
      <w:lvlJc w:val="left"/>
      <w:pPr>
        <w:tabs>
          <w:tab w:val="num" w:pos="1080"/>
        </w:tabs>
        <w:ind w:left="1080" w:hanging="360"/>
      </w:pPr>
      <w:rPr>
        <w:rFonts w:ascii="Calibri" w:hAnsi="Calibri"/>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8">
    <w:lvl w:ilvl="0">
      <w:start w:val="1"/>
      <w:numFmt w:val="decimal"/>
      <w:lvlText w:val="%1)"/>
      <w:lvlJc w:val="left"/>
      <w:pPr>
        <w:tabs>
          <w:tab w:val="num" w:pos="720"/>
        </w:tabs>
        <w:ind w:left="720" w:hanging="360"/>
      </w:pPr>
      <w:rPr/>
    </w:lvl>
    <w:lvl w:ilvl="1">
      <w:start w:val="1"/>
      <w:numFmt w:val="decimal"/>
      <w:lvlText w:val="%2)"/>
      <w:lvlJc w:val="left"/>
      <w:pPr>
        <w:tabs>
          <w:tab w:val="num" w:pos="1080"/>
        </w:tabs>
        <w:ind w:left="1080" w:hanging="360"/>
      </w:pPr>
      <w:rPr>
        <w:rFonts w:ascii="Calibri" w:hAnsi="Calibri"/>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9">
    <w:lvl w:ilvl="0">
      <w:start w:val="1"/>
      <w:numFmt w:val="decimal"/>
      <w:lvlText w:val="%1."/>
      <w:lvlJc w:val="left"/>
      <w:pPr>
        <w:tabs>
          <w:tab w:val="num" w:pos="720"/>
        </w:tabs>
        <w:ind w:left="720" w:hanging="360"/>
      </w:pPr>
      <w:rPr>
        <w:rFonts w:ascii="Calibri" w:hAnsi="Calibri"/>
      </w:rPr>
    </w:lvl>
    <w:lvl w:ilvl="1">
      <w:start w:val="1"/>
      <w:numFmt w:val="decimal"/>
      <w:lvlText w:val="%2)"/>
      <w:lvlJc w:val="left"/>
      <w:pPr>
        <w:tabs>
          <w:tab w:val="num" w:pos="1080"/>
        </w:tabs>
        <w:ind w:left="1080" w:hanging="360"/>
      </w:pPr>
      <w:rPr>
        <w:rFonts w:ascii="Calibri" w:hAnsi="Calibri"/>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0">
    <w:lvl w:ilvl="0">
      <w:start w:val="1"/>
      <w:numFmt w:val="decimal"/>
      <w:lvlText w:val="%1."/>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rFonts w:ascii="Calibri" w:hAnsi="Calibri"/>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1">
    <w:lvl w:ilvl="0">
      <w:start w:val="1"/>
      <w:numFmt w:val="decimal"/>
      <w:lvlText w:val="%1)"/>
      <w:lvlJc w:val="left"/>
      <w:pPr>
        <w:tabs>
          <w:tab w:val="num" w:pos="720"/>
        </w:tabs>
        <w:ind w:left="720" w:hanging="360"/>
      </w:pPr>
      <w:rPr>
        <w:rFonts w:ascii="Calibri" w:hAnsi="Calibri"/>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2">
    <w:lvl w:ilvl="0">
      <w:start w:val="1"/>
      <w:numFmt w:val="decimal"/>
      <w:lvlText w:val="%1)"/>
      <w:lvlJc w:val="left"/>
      <w:pPr>
        <w:tabs>
          <w:tab w:val="num" w:pos="720"/>
        </w:tabs>
        <w:ind w:left="720" w:hanging="360"/>
      </w:pPr>
      <w:rPr>
        <w:rFonts w:ascii="Calibri" w:hAnsi="Calibri"/>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3">
    <w:lvl w:ilvl="0">
      <w:start w:val="1"/>
      <w:numFmt w:val="decimal"/>
      <w:lvlText w:val="%1."/>
      <w:lvlJc w:val="left"/>
      <w:pPr>
        <w:tabs>
          <w:tab w:val="num" w:pos="720"/>
        </w:tabs>
        <w:ind w:left="720" w:hanging="360"/>
      </w:pPr>
      <w:rPr>
        <w:rFonts w:ascii="Calibri" w:hAnsi="Calibri"/>
      </w:rPr>
    </w:lvl>
    <w:lvl w:ilvl="1">
      <w:start w:val="1"/>
      <w:numFmt w:val="lowerLetter"/>
      <w:lvlText w:val="%2)"/>
      <w:lvlJc w:val="left"/>
      <w:pPr>
        <w:tabs>
          <w:tab w:val="num" w:pos="1080"/>
        </w:tabs>
        <w:ind w:left="1080" w:hanging="360"/>
      </w:pPr>
      <w:rPr>
        <w:rFonts w:ascii="Calibri" w:hAnsi="Calibri"/>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rFonts w:ascii="Calibri" w:hAnsi="Calibri"/>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4">
    <w:lvl w:ilvl="0">
      <w:start w:val="1"/>
      <w:numFmt w:val="decimal"/>
      <w:lvlText w:val="%1."/>
      <w:lvlJc w:val="left"/>
      <w:pPr>
        <w:tabs>
          <w:tab w:val="num" w:pos="720"/>
        </w:tabs>
        <w:ind w:left="720" w:hanging="360"/>
      </w:pPr>
      <w:rPr>
        <w:rFonts w:ascii="Calibri" w:hAnsi="Calibri"/>
      </w:rPr>
    </w:lvl>
    <w:lvl w:ilvl="1">
      <w:start w:val="1"/>
      <w:numFmt w:val="decimal"/>
      <w:lvlText w:val="%2)"/>
      <w:lvlJc w:val="left"/>
      <w:pPr>
        <w:tabs>
          <w:tab w:val="num" w:pos="1080"/>
        </w:tabs>
        <w:ind w:left="1080" w:hanging="360"/>
      </w:pPr>
      <w:rPr>
        <w:rFonts w:ascii="Calibri" w:hAnsi="Calibri"/>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5">
    <w:lvl w:ilvl="0">
      <w:start w:val="1"/>
      <w:numFmt w:val="decimal"/>
      <w:lvlText w:val="%1)"/>
      <w:lvlJc w:val="left"/>
      <w:pPr>
        <w:tabs>
          <w:tab w:val="num" w:pos="720"/>
        </w:tabs>
        <w:ind w:left="720" w:hanging="360"/>
      </w:pPr>
      <w:rPr>
        <w:rFonts w:ascii="Calibri" w:hAnsi="Calibri"/>
      </w:rPr>
    </w:lvl>
    <w:lvl w:ilvl="1">
      <w:start w:val="1"/>
      <w:numFmt w:val="lowerLetter"/>
      <w:lvlText w:val="%2)"/>
      <w:lvlJc w:val="left"/>
      <w:pPr>
        <w:tabs>
          <w:tab w:val="num" w:pos="1080"/>
        </w:tabs>
        <w:ind w:left="1080" w:hanging="360"/>
      </w:pPr>
      <w:rPr>
        <w:rFonts w:ascii="Calibri" w:hAnsi="Calibri"/>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6">
    <w:lvl w:ilvl="0">
      <w:start w:val="1"/>
      <w:numFmt w:val="decimal"/>
      <w:lvlText w:val="%1."/>
      <w:lvlJc w:val="left"/>
      <w:pPr>
        <w:tabs>
          <w:tab w:val="num" w:pos="720"/>
        </w:tabs>
        <w:ind w:left="720" w:hanging="360"/>
      </w:pPr>
      <w:rPr>
        <w:rFonts w:ascii="Calibri" w:hAnsi="Calibri"/>
      </w:rPr>
    </w:lvl>
    <w:lvl w:ilvl="1">
      <w:start w:val="1"/>
      <w:numFmt w:val="decimal"/>
      <w:lvlText w:val="%2)"/>
      <w:lvlJc w:val="left"/>
      <w:pPr>
        <w:tabs>
          <w:tab w:val="num" w:pos="1080"/>
        </w:tabs>
        <w:ind w:left="1080" w:hanging="360"/>
      </w:pPr>
      <w:rPr>
        <w:rFonts w:ascii="Calibri" w:hAnsi="Calibri"/>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7">
    <w:lvl w:ilvl="0">
      <w:start w:val="1"/>
      <w:numFmt w:val="decimal"/>
      <w:lvlText w:val="%1."/>
      <w:lvlJc w:val="left"/>
      <w:pPr>
        <w:tabs>
          <w:tab w:val="num" w:pos="720"/>
        </w:tabs>
        <w:ind w:left="720" w:hanging="360"/>
      </w:pPr>
      <w:rPr>
        <w:rFonts w:ascii="Calibri" w:hAnsi="Calibri"/>
      </w:rPr>
    </w:lvl>
    <w:lvl w:ilvl="1">
      <w:start w:val="1"/>
      <w:numFmt w:val="decimal"/>
      <w:lvlText w:val="%2)"/>
      <w:lvlJc w:val="left"/>
      <w:pPr>
        <w:tabs>
          <w:tab w:val="num" w:pos="1080"/>
        </w:tabs>
        <w:ind w:left="1080" w:hanging="360"/>
      </w:pPr>
      <w:rPr>
        <w:rFonts w:ascii="Calibri" w:hAnsi="Calibri"/>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8">
    <w:lvl w:ilvl="0">
      <w:start w:val="1"/>
      <w:numFmt w:val="decimal"/>
      <w:lvlText w:val="%1."/>
      <w:lvlJc w:val="left"/>
      <w:pPr>
        <w:tabs>
          <w:tab w:val="num" w:pos="720"/>
        </w:tabs>
        <w:ind w:left="720" w:hanging="360"/>
      </w:pPr>
      <w:rPr>
        <w:rFonts w:ascii="Calibri" w:hAnsi="Calibri"/>
      </w:rPr>
    </w:lvl>
    <w:lvl w:ilvl="1">
      <w:start w:val="1"/>
      <w:numFmt w:val="decimal"/>
      <w:lvlText w:val="%2)"/>
      <w:lvlJc w:val="left"/>
      <w:pPr>
        <w:tabs>
          <w:tab w:val="num" w:pos="1080"/>
        </w:tabs>
        <w:ind w:left="1080" w:hanging="360"/>
      </w:pPr>
      <w:rPr/>
    </w:lvl>
    <w:lvl w:ilvl="2">
      <w:start w:val="1"/>
      <w:numFmt w:val="lowerLetter"/>
      <w:lvlText w:val="%3)"/>
      <w:lvlJc w:val="left"/>
      <w:pPr>
        <w:tabs>
          <w:tab w:val="num" w:pos="1440"/>
        </w:tabs>
        <w:ind w:left="1440" w:hanging="360"/>
      </w:pPr>
      <w:rPr>
        <w:rFonts w:ascii="Calibri" w:hAnsi="Calibri"/>
      </w:rPr>
    </w:lvl>
    <w:lvl w:ilvl="3">
      <w:start w:val="1"/>
      <w:numFmt w:val="lowerRoman"/>
      <w:lvlText w:val="%4."/>
      <w:lvlJc w:val="left"/>
      <w:pPr>
        <w:tabs>
          <w:tab w:val="num" w:pos="1800"/>
        </w:tabs>
        <w:ind w:left="1800" w:hanging="360"/>
      </w:pPr>
      <w:rPr>
        <w:rFonts w:ascii="Calibri" w:hAnsi="Calibri"/>
      </w:rPr>
    </w:lvl>
    <w:lvl w:ilvl="4">
      <w:start w:val="1"/>
      <w:numFmt w:val="bullet"/>
      <w:lvlText w:val=""/>
      <w:lvlJc w:val="left"/>
      <w:pPr>
        <w:tabs>
          <w:tab w:val="num" w:pos="2160"/>
        </w:tabs>
        <w:ind w:left="2160" w:hanging="360"/>
      </w:pPr>
      <w:rPr>
        <w:rFonts w:ascii="Symbol" w:hAnsi="Symbol" w:cs="Symbol" w:hint="default"/>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9">
    <w:lvl w:ilvl="0">
      <w:start w:val="1"/>
      <w:numFmt w:val="decimal"/>
      <w:lvlText w:val="%1."/>
      <w:lvlJc w:val="left"/>
      <w:pPr>
        <w:tabs>
          <w:tab w:val="num" w:pos="1148"/>
        </w:tabs>
        <w:ind w:left="1148" w:hanging="360"/>
      </w:pPr>
      <w:rPr>
        <w:rFonts w:ascii="Calibri" w:hAnsi="Calibri"/>
      </w:rPr>
    </w:lvl>
    <w:lvl w:ilvl="1">
      <w:start w:val="1"/>
      <w:numFmt w:val="decimal"/>
      <w:lvlText w:val="%2)"/>
      <w:lvlJc w:val="left"/>
      <w:pPr>
        <w:tabs>
          <w:tab w:val="num" w:pos="1508"/>
        </w:tabs>
        <w:ind w:left="1508" w:hanging="360"/>
      </w:pPr>
      <w:rPr>
        <w:rFonts w:ascii="Calibri" w:hAnsi="Calibri"/>
      </w:rPr>
    </w:lvl>
    <w:lvl w:ilvl="2">
      <w:start w:val="1"/>
      <w:numFmt w:val="decimal"/>
      <w:lvlText w:val="%3."/>
      <w:lvlJc w:val="left"/>
      <w:pPr>
        <w:tabs>
          <w:tab w:val="num" w:pos="1868"/>
        </w:tabs>
        <w:ind w:left="1868" w:hanging="360"/>
      </w:pPr>
      <w:rPr/>
    </w:lvl>
    <w:lvl w:ilvl="3">
      <w:start w:val="1"/>
      <w:numFmt w:val="decimal"/>
      <w:lvlText w:val="%4."/>
      <w:lvlJc w:val="left"/>
      <w:pPr>
        <w:tabs>
          <w:tab w:val="num" w:pos="2228"/>
        </w:tabs>
        <w:ind w:left="2228" w:hanging="360"/>
      </w:pPr>
      <w:rPr/>
    </w:lvl>
    <w:lvl w:ilvl="4">
      <w:start w:val="1"/>
      <w:numFmt w:val="decimal"/>
      <w:lvlText w:val="%5."/>
      <w:lvlJc w:val="left"/>
      <w:pPr>
        <w:tabs>
          <w:tab w:val="num" w:pos="2588"/>
        </w:tabs>
        <w:ind w:left="2588" w:hanging="360"/>
      </w:pPr>
      <w:rPr/>
    </w:lvl>
    <w:lvl w:ilvl="5">
      <w:start w:val="1"/>
      <w:numFmt w:val="decimal"/>
      <w:lvlText w:val="%6."/>
      <w:lvlJc w:val="left"/>
      <w:pPr>
        <w:tabs>
          <w:tab w:val="num" w:pos="2948"/>
        </w:tabs>
        <w:ind w:left="2948" w:hanging="360"/>
      </w:pPr>
      <w:rPr/>
    </w:lvl>
    <w:lvl w:ilvl="6">
      <w:start w:val="1"/>
      <w:numFmt w:val="decimal"/>
      <w:lvlText w:val="%7."/>
      <w:lvlJc w:val="left"/>
      <w:pPr>
        <w:tabs>
          <w:tab w:val="num" w:pos="3308"/>
        </w:tabs>
        <w:ind w:left="3308" w:hanging="360"/>
      </w:pPr>
      <w:rPr/>
    </w:lvl>
    <w:lvl w:ilvl="7">
      <w:start w:val="1"/>
      <w:numFmt w:val="decimal"/>
      <w:lvlText w:val="%8."/>
      <w:lvlJc w:val="left"/>
      <w:pPr>
        <w:tabs>
          <w:tab w:val="num" w:pos="3668"/>
        </w:tabs>
        <w:ind w:left="3668" w:hanging="360"/>
      </w:pPr>
      <w:rPr/>
    </w:lvl>
    <w:lvl w:ilvl="8">
      <w:start w:val="1"/>
      <w:numFmt w:val="decimal"/>
      <w:lvlText w:val="%9."/>
      <w:lvlJc w:val="left"/>
      <w:pPr>
        <w:tabs>
          <w:tab w:val="num" w:pos="4028"/>
        </w:tabs>
        <w:ind w:left="4028" w:hanging="360"/>
      </w:pPr>
      <w:rPr/>
    </w:lvl>
  </w:abstractNum>
  <w:abstractNum w:abstractNumId="30">
    <w:lvl w:ilvl="0">
      <w:start w:val="1"/>
      <w:numFmt w:val="decimal"/>
      <w:lvlText w:val="%1."/>
      <w:lvlJc w:val="left"/>
      <w:pPr>
        <w:tabs>
          <w:tab w:val="num" w:pos="720"/>
        </w:tabs>
        <w:ind w:left="720" w:hanging="360"/>
      </w:pPr>
      <w:rPr>
        <w:rFonts w:ascii="Calibri" w:hAnsi="Calibri"/>
      </w:rPr>
    </w:lvl>
    <w:lvl w:ilvl="1">
      <w:start w:val="1"/>
      <w:numFmt w:val="decimal"/>
      <w:lvlText w:val="%2)"/>
      <w:lvlJc w:val="left"/>
      <w:pPr>
        <w:tabs>
          <w:tab w:val="num" w:pos="1080"/>
        </w:tabs>
        <w:ind w:left="1080" w:hanging="360"/>
      </w:pPr>
      <w:rPr>
        <w:rFonts w:ascii="Calibri" w:hAnsi="Calibri"/>
      </w:rPr>
    </w:lvl>
    <w:lvl w:ilvl="2">
      <w:start w:val="1"/>
      <w:numFmt w:val="lowerLetter"/>
      <w:lvlText w:val="%3)"/>
      <w:lvlJc w:val="left"/>
      <w:pPr>
        <w:tabs>
          <w:tab w:val="num" w:pos="1440"/>
        </w:tabs>
        <w:ind w:left="1440" w:hanging="360"/>
      </w:pPr>
      <w:rPr>
        <w:rFonts w:ascii="Calibri" w:hAnsi="Calibri"/>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1">
    <w:lvl w:ilvl="0">
      <w:start w:val="1"/>
      <w:numFmt w:val="decimal"/>
      <w:lvlText w:val="%1."/>
      <w:lvlJc w:val="left"/>
      <w:pPr>
        <w:tabs>
          <w:tab w:val="num" w:pos="720"/>
        </w:tabs>
        <w:ind w:left="720" w:hanging="360"/>
      </w:pPr>
      <w:rPr>
        <w:rFonts w:ascii="Calibri" w:hAnsi="Calibri"/>
      </w:rPr>
    </w:lvl>
    <w:lvl w:ilvl="1">
      <w:start w:val="1"/>
      <w:numFmt w:val="decimal"/>
      <w:lvlText w:val="%2)"/>
      <w:lvlJc w:val="left"/>
      <w:pPr>
        <w:tabs>
          <w:tab w:val="num" w:pos="1080"/>
        </w:tabs>
        <w:ind w:left="1080" w:hanging="360"/>
      </w:pPr>
      <w:rPr>
        <w:rFonts w:ascii="Calibri" w:hAnsi="Calibri"/>
      </w:rPr>
    </w:lvl>
    <w:lvl w:ilvl="2">
      <w:start w:val="1"/>
      <w:numFmt w:val="lowerLetter"/>
      <w:lvlText w:val="%3)"/>
      <w:lvlJc w:val="left"/>
      <w:pPr>
        <w:tabs>
          <w:tab w:val="num" w:pos="1440"/>
        </w:tabs>
        <w:ind w:left="1440" w:hanging="360"/>
      </w:pPr>
      <w:rPr>
        <w:rFonts w:ascii="Calibri" w:hAnsi="Calibri"/>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2">
    <w:lvl w:ilvl="0">
      <w:start w:val="1"/>
      <w:numFmt w:val="decimal"/>
      <w:lvlText w:val="%1."/>
      <w:lvlJc w:val="left"/>
      <w:pPr>
        <w:tabs>
          <w:tab w:val="num" w:pos="0"/>
        </w:tabs>
        <w:ind w:left="720" w:hanging="360"/>
      </w:pPr>
      <w:rPr>
        <w:sz w:val="24"/>
        <w:b w:val="false"/>
        <w:szCs w:val="24"/>
        <w:rFonts w:ascii="Calibri" w:hAnsi="Calibri" w:cs="Cambria"/>
        <w:color w:val="auto"/>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3">
    <w:lvl w:ilvl="0">
      <w:start w:val="1"/>
      <w:numFmt w:val="upperRoman"/>
      <w:lvlText w:val="%1."/>
      <w:lvlJc w:val="left"/>
      <w:pPr>
        <w:tabs>
          <w:tab w:val="num" w:pos="720"/>
        </w:tabs>
        <w:ind w:left="720" w:hanging="360"/>
      </w:pPr>
      <w:rPr>
        <w:b w:val="false"/>
        <w:bCs w:val="false"/>
        <w:rFonts w:ascii="Calibri" w:hAnsi="Calibri"/>
      </w:rPr>
    </w:lvl>
    <w:lvl w:ilvl="1">
      <w:start w:val="1"/>
      <w:numFmt w:val="decimal"/>
      <w:lvlText w:val="%2."/>
      <w:lvlJc w:val="left"/>
      <w:pPr>
        <w:tabs>
          <w:tab w:val="num" w:pos="1080"/>
        </w:tabs>
        <w:ind w:left="1080" w:hanging="360"/>
      </w:pPr>
      <w:rPr>
        <w:rFonts w:ascii="Calibri" w:hAnsi="Calibri"/>
      </w:rPr>
    </w:lvl>
    <w:lvl w:ilvl="2">
      <w:start w:val="1"/>
      <w:numFmt w:val="decimal"/>
      <w:lvlText w:val="%3)"/>
      <w:lvlJc w:val="left"/>
      <w:pPr>
        <w:tabs>
          <w:tab w:val="num" w:pos="1440"/>
        </w:tabs>
        <w:ind w:left="1440" w:hanging="360"/>
      </w:pPr>
      <w:rPr>
        <w:rFonts w:ascii="Calibri" w:hAnsi="Calibri"/>
      </w:rPr>
    </w:lvl>
    <w:lvl w:ilvl="3">
      <w:start w:val="1"/>
      <w:numFmt w:val="lowerLetter"/>
      <w:lvlText w:val="%4)"/>
      <w:lvlJc w:val="left"/>
      <w:pPr>
        <w:tabs>
          <w:tab w:val="num" w:pos="1800"/>
        </w:tabs>
        <w:ind w:left="1800" w:hanging="360"/>
      </w:pPr>
      <w:rPr>
        <w:rFonts w:ascii="Calibri" w:hAnsi="Calibri"/>
      </w:rPr>
    </w:lvl>
    <w:lvl w:ilvl="4">
      <w:start w:val="1"/>
      <w:numFmt w:val="lowerLetter"/>
      <w:lvlText w:val="(%5)"/>
      <w:lvlJc w:val="left"/>
      <w:pPr>
        <w:tabs>
          <w:tab w:val="num" w:pos="2160"/>
        </w:tabs>
        <w:ind w:left="2160" w:hanging="360"/>
      </w:pPr>
      <w:rPr/>
    </w:lvl>
    <w:lvl w:ilvl="5">
      <w:start w:val="1"/>
      <w:numFmt w:val="upperRoman"/>
      <w:lvlText w:val="%6."/>
      <w:lvlJc w:val="left"/>
      <w:pPr>
        <w:tabs>
          <w:tab w:val="num" w:pos="2520"/>
        </w:tabs>
        <w:ind w:left="2520" w:hanging="360"/>
      </w:pPr>
      <w:rPr/>
    </w:lvl>
    <w:lvl w:ilvl="6">
      <w:start w:val="1"/>
      <w:numFmt w:val="upperRoman"/>
      <w:lvlText w:val="%7."/>
      <w:lvlJc w:val="left"/>
      <w:pPr>
        <w:tabs>
          <w:tab w:val="num" w:pos="2880"/>
        </w:tabs>
        <w:ind w:left="2880" w:hanging="360"/>
      </w:pPr>
      <w:rPr/>
    </w:lvl>
    <w:lvl w:ilvl="7">
      <w:start w:val="1"/>
      <w:numFmt w:val="upperRoman"/>
      <w:lvlText w:val="%8."/>
      <w:lvlJc w:val="left"/>
      <w:pPr>
        <w:tabs>
          <w:tab w:val="num" w:pos="3240"/>
        </w:tabs>
        <w:ind w:left="3240" w:hanging="360"/>
      </w:pPr>
      <w:rPr/>
    </w:lvl>
    <w:lvl w:ilvl="8">
      <w:start w:val="1"/>
      <w:numFmt w:val="upperRoman"/>
      <w:lvlText w:val="%9."/>
      <w:lvlJc w:val="left"/>
      <w:pPr>
        <w:tabs>
          <w:tab w:val="num" w:pos="3600"/>
        </w:tabs>
        <w:ind w:left="3600" w:hanging="360"/>
      </w:pPr>
      <w:rPr/>
    </w:lvl>
  </w:abstractNum>
  <w:abstractNum w:abstractNumId="34">
    <w:lvl w:ilvl="0">
      <w:start w:val="1"/>
      <w:numFmt w:val="decimal"/>
      <w:lvlText w:val="%1."/>
      <w:lvlJc w:val="left"/>
      <w:pPr>
        <w:tabs>
          <w:tab w:val="num" w:pos="0"/>
        </w:tabs>
        <w:ind w:left="720" w:hanging="360"/>
      </w:pPr>
      <w:rPr>
        <w:sz w:val="24"/>
        <w:b w:val="false"/>
        <w:szCs w:val="24"/>
        <w:rFonts w:ascii="Calibri" w:hAnsi="Calibri" w:cs="Cambria"/>
        <w:color w:val="auto"/>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5">
    <w:lvl w:ilvl="0">
      <w:start w:val="1"/>
      <w:numFmt w:val="decimal"/>
      <w:lvlText w:val="%1."/>
      <w:lvlJc w:val="left"/>
      <w:pPr>
        <w:tabs>
          <w:tab w:val="num" w:pos="0"/>
        </w:tabs>
        <w:ind w:left="720" w:hanging="360"/>
      </w:pPr>
      <w:rPr>
        <w:sz w:val="24"/>
        <w:b w:val="false"/>
        <w:szCs w:val="24"/>
        <w:rFonts w:ascii="Calibri" w:hAnsi="Calibri" w:cs="Cambria"/>
        <w:color w:val="auto"/>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6">
    <w:lvl w:ilvl="0">
      <w:start w:val="1"/>
      <w:numFmt w:val="decimal"/>
      <w:lvlText w:val="%1."/>
      <w:lvlJc w:val="left"/>
      <w:pPr>
        <w:tabs>
          <w:tab w:val="num" w:pos="0"/>
        </w:tabs>
        <w:ind w:left="720" w:hanging="360"/>
      </w:pPr>
      <w:rPr>
        <w:sz w:val="24"/>
        <w:b w:val="false"/>
        <w:szCs w:val="24"/>
        <w:rFonts w:ascii="Calibri" w:hAnsi="Calibri" w:cs="Cambria"/>
        <w:color w:val="auto"/>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7">
    <w:lvl w:ilvl="0">
      <w:start w:val="1"/>
      <w:numFmt w:val="decimal"/>
      <w:lvlText w:val="%1."/>
      <w:lvlJc w:val="left"/>
      <w:pPr>
        <w:tabs>
          <w:tab w:val="num" w:pos="0"/>
        </w:tabs>
        <w:ind w:left="720" w:hanging="360"/>
      </w:pPr>
      <w:rPr>
        <w:sz w:val="24"/>
        <w:b w:val="false"/>
        <w:szCs w:val="24"/>
        <w:rFonts w:ascii="Calibri" w:hAnsi="Calibri" w:cs="Cambria"/>
        <w:color w:val="auto"/>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8">
    <w:lvl w:ilvl="0">
      <w:start w:val="1"/>
      <w:numFmt w:val="decimal"/>
      <w:lvlText w:val="%1."/>
      <w:lvlJc w:val="left"/>
      <w:pPr>
        <w:tabs>
          <w:tab w:val="num" w:pos="0"/>
        </w:tabs>
        <w:ind w:left="720" w:hanging="360"/>
      </w:pPr>
      <w:rPr>
        <w:sz w:val="24"/>
        <w:b w:val="false"/>
        <w:szCs w:val="24"/>
        <w:rFonts w:ascii="Calibri" w:hAnsi="Calibri" w:cs="Cambria"/>
        <w:color w:val="auto"/>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9">
    <w:lvl w:ilvl="0">
      <w:start w:val="1"/>
      <w:numFmt w:val="decimal"/>
      <w:lvlText w:val="%1."/>
      <w:lvlJc w:val="left"/>
      <w:pPr>
        <w:tabs>
          <w:tab w:val="num" w:pos="0"/>
        </w:tabs>
        <w:ind w:left="720" w:hanging="360"/>
      </w:pPr>
      <w:rPr>
        <w:sz w:val="24"/>
        <w:b w:val="false"/>
        <w:szCs w:val="24"/>
        <w:rFonts w:ascii="Calibri" w:hAnsi="Calibri" w:cs="Cambria"/>
        <w:color w:val="auto"/>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0">
    <w:lvl w:ilvl="0">
      <w:start w:val="1"/>
      <w:numFmt w:val="decimal"/>
      <w:lvlText w:val="%1."/>
      <w:lvlJc w:val="left"/>
      <w:pPr>
        <w:tabs>
          <w:tab w:val="num" w:pos="0"/>
        </w:tabs>
        <w:ind w:left="720" w:hanging="360"/>
      </w:pPr>
      <w:rPr>
        <w:sz w:val="24"/>
        <w:b w:val="false"/>
        <w:szCs w:val="24"/>
        <w:rFonts w:ascii="Calibri" w:hAnsi="Calibri" w:cs="Cambria"/>
        <w:color w:val="auto"/>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1">
    <w:lvl w:ilvl="0">
      <w:start w:val="1"/>
      <w:numFmt w:val="decimal"/>
      <w:lvlText w:val="%1."/>
      <w:lvlJc w:val="left"/>
      <w:pPr>
        <w:tabs>
          <w:tab w:val="num" w:pos="0"/>
        </w:tabs>
        <w:ind w:left="720" w:hanging="360"/>
      </w:pPr>
      <w:rPr>
        <w:sz w:val="24"/>
        <w:b w:val="false"/>
        <w:szCs w:val="24"/>
        <w:rFonts w:ascii="Calibri" w:hAnsi="Calibri" w:cs="Cambria"/>
        <w:color w:val="auto"/>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2">
    <w:lvl w:ilvl="0">
      <w:start w:val="1"/>
      <w:numFmt w:val="decimal"/>
      <w:lvlText w:val="%1."/>
      <w:lvlJc w:val="left"/>
      <w:pPr>
        <w:tabs>
          <w:tab w:val="num" w:pos="0"/>
        </w:tabs>
        <w:ind w:left="720" w:hanging="360"/>
      </w:pPr>
      <w:rPr>
        <w:sz w:val="24"/>
        <w:b w:val="false"/>
        <w:szCs w:val="24"/>
        <w:rFonts w:ascii="Calibri" w:hAnsi="Calibri" w:cs="Cambria"/>
        <w:color w:val="auto"/>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3">
    <w:lvl w:ilvl="0">
      <w:start w:val="1"/>
      <w:numFmt w:val="decimal"/>
      <w:lvlText w:val="%1."/>
      <w:lvlJc w:val="left"/>
      <w:pPr>
        <w:tabs>
          <w:tab w:val="num" w:pos="0"/>
        </w:tabs>
        <w:ind w:left="720" w:hanging="360"/>
      </w:pPr>
      <w:rPr>
        <w:sz w:val="24"/>
        <w:b w:val="false"/>
        <w:szCs w:val="24"/>
        <w:rFonts w:ascii="Calibri" w:hAnsi="Calibri" w:cs="Cambria"/>
        <w:color w:val="auto"/>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4">
    <w:lvl w:ilvl="0">
      <w:start w:val="1"/>
      <w:numFmt w:val="decimal"/>
      <w:lvlText w:val="%1."/>
      <w:lvlJc w:val="left"/>
      <w:pPr>
        <w:tabs>
          <w:tab w:val="num" w:pos="0"/>
        </w:tabs>
        <w:ind w:left="720" w:hanging="360"/>
      </w:pPr>
      <w:rPr>
        <w:sz w:val="24"/>
        <w:b w:val="false"/>
        <w:szCs w:val="24"/>
        <w:rFonts w:ascii="Calibri" w:hAnsi="Calibri" w:cs="Cambria"/>
        <w:color w:val="auto"/>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5">
    <w:lvl w:ilvl="0">
      <w:start w:val="1"/>
      <w:numFmt w:val="decimal"/>
      <w:lvlText w:val="%1."/>
      <w:lvlJc w:val="left"/>
      <w:pPr>
        <w:tabs>
          <w:tab w:val="num" w:pos="0"/>
        </w:tabs>
        <w:ind w:left="720" w:hanging="360"/>
      </w:pPr>
      <w:rPr>
        <w:sz w:val="24"/>
        <w:b w:val="false"/>
        <w:szCs w:val="24"/>
        <w:rFonts w:ascii="Calibri" w:hAnsi="Calibri" w:cs="Cambria"/>
        <w:color w:val="auto"/>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6">
    <w:lvl w:ilvl="0">
      <w:start w:val="1"/>
      <w:numFmt w:val="decimal"/>
      <w:lvlText w:val="%1."/>
      <w:lvlJc w:val="left"/>
      <w:pPr>
        <w:tabs>
          <w:tab w:val="num" w:pos="0"/>
        </w:tabs>
        <w:ind w:left="720" w:hanging="360"/>
      </w:pPr>
      <w:rPr>
        <w:sz w:val="24"/>
        <w:b w:val="false"/>
        <w:szCs w:val="24"/>
        <w:rFonts w:ascii="Calibri" w:hAnsi="Calibri" w:cs="Cambria"/>
        <w:color w:val="auto"/>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7">
    <w:lvl w:ilvl="0">
      <w:start w:val="1"/>
      <w:numFmt w:val="decimal"/>
      <w:lvlText w:val="%1."/>
      <w:lvlJc w:val="left"/>
      <w:pPr>
        <w:tabs>
          <w:tab w:val="num" w:pos="0"/>
        </w:tabs>
        <w:ind w:left="720" w:hanging="360"/>
      </w:pPr>
      <w:rPr>
        <w:sz w:val="24"/>
        <w:b w:val="false"/>
        <w:szCs w:val="24"/>
        <w:rFonts w:ascii="Calibri" w:hAnsi="Calibri" w:cs="Cambria"/>
        <w:color w:val="auto"/>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8">
    <w:lvl w:ilvl="0">
      <w:start w:val="1"/>
      <w:numFmt w:val="decimal"/>
      <w:lvlText w:val="%1."/>
      <w:lvlJc w:val="left"/>
      <w:pPr>
        <w:tabs>
          <w:tab w:val="num" w:pos="0"/>
        </w:tabs>
        <w:ind w:left="720" w:hanging="360"/>
      </w:pPr>
      <w:rPr>
        <w:sz w:val="24"/>
        <w:b w:val="false"/>
        <w:szCs w:val="24"/>
        <w:rFonts w:ascii="Calibri" w:hAnsi="Calibri" w:cs="Cambria"/>
        <w:color w:val="auto"/>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9">
    <w:lvl w:ilvl="0">
      <w:start w:val="1"/>
      <w:numFmt w:val="decimal"/>
      <w:lvlText w:val="%1."/>
      <w:lvlJc w:val="left"/>
      <w:pPr>
        <w:tabs>
          <w:tab w:val="num" w:pos="0"/>
        </w:tabs>
        <w:ind w:left="720" w:hanging="360"/>
      </w:pPr>
      <w:rPr>
        <w:sz w:val="24"/>
        <w:b w:val="false"/>
        <w:szCs w:val="24"/>
        <w:rFonts w:ascii="Calibri" w:hAnsi="Calibri" w:cs="Cambria"/>
        <w:color w:val="auto"/>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50">
    <w:lvl w:ilvl="0">
      <w:start w:val="1"/>
      <w:numFmt w:val="decimal"/>
      <w:lvlText w:val="%1."/>
      <w:lvlJc w:val="left"/>
      <w:pPr>
        <w:tabs>
          <w:tab w:val="num" w:pos="0"/>
        </w:tabs>
        <w:ind w:left="720" w:hanging="360"/>
      </w:pPr>
      <w:rPr>
        <w:sz w:val="24"/>
        <w:b w:val="false"/>
        <w:szCs w:val="24"/>
        <w:rFonts w:ascii="Calibri" w:hAnsi="Calibri" w:cs="Cambria"/>
        <w:color w:val="auto"/>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5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3"/>
    <w:lvlOverride w:ilvl="0">
      <w:startOverride w:val="1"/>
    </w:lvlOverride>
    <w:lvlOverride w:ilvl="1">
      <w:startOverride w:val="1"/>
    </w:lvlOverride>
    <w:lvlOverride w:ilvl="2">
      <w:startOverride w:val="1"/>
    </w:lvlOverride>
  </w:num>
  <w:num w:numId="53">
    <w:abstractNumId w:val="32"/>
  </w:num>
  <w:num w:numId="54">
    <w:abstractNumId w:val="32"/>
  </w:num>
  <w:num w:numId="55">
    <w:abstractNumId w:val="32"/>
  </w:num>
  <w:num w:numId="56">
    <w:abstractNumId w:val="32"/>
  </w:num>
  <w:num w:numId="57">
    <w:abstractNumId w:val="32"/>
  </w:num>
  <w:num w:numId="58">
    <w:abstractNumId w:val="32"/>
  </w:num>
  <w:num w:numId="59">
    <w:abstractNumId w:val="32"/>
  </w:num>
  <w:num w:numId="60">
    <w:abstractNumId w:val="32"/>
  </w:num>
  <w:num w:numId="61">
    <w:abstractNumId w:val="32"/>
  </w:num>
  <w:num w:numId="62">
    <w:abstractNumId w:val="32"/>
  </w:num>
  <w:num w:numId="63">
    <w:abstractNumId w:val="32"/>
  </w:num>
  <w:num w:numId="64">
    <w:abstractNumId w:val="32"/>
  </w:num>
  <w:num w:numId="65">
    <w:abstractNumId w:val="32"/>
  </w:num>
  <w:num w:numId="66">
    <w:abstractNumId w:val="32"/>
  </w:num>
  <w:num w:numId="67">
    <w:abstractNumId w:val="32"/>
  </w:num>
  <w:num w:numId="68">
    <w:abstractNumId w:val="32"/>
  </w:num>
  <w:num w:numId="69">
    <w:abstractNumId w:val="32"/>
  </w:num>
</w:numbering>
</file>

<file path=word/settings.xml><?xml version="1.0" encoding="utf-8"?>
<w:settings xmlns:w="http://schemas.openxmlformats.org/wordprocessingml/2006/main">
  <w:zoom w:percent="110"/>
  <w:defaultTabStop w:val="720"/>
  <w:autoHyphenation w:val="true"/>
  <w:hyphenationZone w:val="360"/>
  <w:footnotePr>
    <w:numFmt w:val="decimal"/>
    <w:footnote w:id="0"/>
    <w:footnote w:id="1"/>
  </w:footnotePr>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ans" w:hAnsi="Liberation Sans" w:eastAsia="NSimSun" w:cs="Arial"/>
        <w:kern w:val="2"/>
        <w:szCs w:val="24"/>
        <w:lang w:val="pl-PL"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Liberation Sans" w:hAnsi="Liberation Sans" w:eastAsia="NSimSun" w:cs="Arial"/>
      <w:color w:val="auto"/>
      <w:kern w:val="2"/>
      <w:sz w:val="24"/>
      <w:szCs w:val="24"/>
      <w:lang w:val="pl-PL" w:eastAsia="zh-CN" w:bidi="hi-IN"/>
    </w:rPr>
  </w:style>
  <w:style w:type="paragraph" w:styleId="Heading1">
    <w:name w:val="heading 1"/>
    <w:basedOn w:val="Nagwek"/>
    <w:next w:val="BodyText"/>
    <w:qFormat/>
    <w:pPr>
      <w:numPr>
        <w:ilvl w:val="0"/>
        <w:numId w:val="1"/>
      </w:numPr>
      <w:spacing w:before="240" w:after="120"/>
      <w:outlineLvl w:val="0"/>
    </w:pPr>
    <w:rPr>
      <w:b/>
      <w:bCs/>
      <w:sz w:val="36"/>
      <w:szCs w:val="36"/>
    </w:rPr>
  </w:style>
  <w:style w:type="paragraph" w:styleId="Heading3">
    <w:name w:val="heading 3"/>
    <w:basedOn w:val="Nagwek"/>
    <w:next w:val="BodyText"/>
    <w:qFormat/>
    <w:pPr>
      <w:numPr>
        <w:ilvl w:val="2"/>
        <w:numId w:val="1"/>
      </w:numPr>
      <w:spacing w:before="140" w:after="120"/>
      <w:outlineLvl w:val="2"/>
    </w:pPr>
    <w:rPr>
      <w:b/>
      <w:bCs/>
      <w:sz w:val="28"/>
      <w:szCs w:val="28"/>
    </w:rPr>
  </w:style>
  <w:style w:type="character" w:styleId="Znakinumeracji">
    <w:name w:val="Znaki numeracji"/>
    <w:qFormat/>
    <w:rPr/>
  </w:style>
  <w:style w:type="character" w:styleId="InternetLink">
    <w:name w:val="Internet Link"/>
    <w:qFormat/>
    <w:rPr>
      <w:color w:val="0000FF"/>
      <w:u w:val="single"/>
    </w:rPr>
  </w:style>
  <w:style w:type="character" w:styleId="FollowedHyperlink">
    <w:name w:val="FollowedHyperlink"/>
    <w:rPr>
      <w:color w:val="800080"/>
      <w:u w:val="single"/>
    </w:rPr>
  </w:style>
  <w:style w:type="character" w:styleId="Znakiprzypiswdolnych">
    <w:name w:val="Znaki przypisów dolnych"/>
    <w:qFormat/>
    <w:rPr>
      <w:vertAlign w:val="superscript"/>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qFormat/>
    <w:rPr>
      <w:vertAlign w:val="superscript"/>
    </w:rPr>
  </w:style>
  <w:style w:type="character" w:styleId="FootnoteCharacters111">
    <w:name w:val="Footnote Characters111"/>
    <w:qFormat/>
    <w:rPr>
      <w:vertAlign w:val="superscript"/>
    </w:rPr>
  </w:style>
  <w:style w:type="character" w:styleId="Znakiprzypiswkocowych">
    <w:name w:val="Znaki przypisów końcowych"/>
    <w:qFormat/>
    <w:rPr>
      <w:vertAlign w:val="superscript"/>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qFormat/>
    <w:rPr>
      <w:vertAlign w:val="superscript"/>
    </w:rPr>
  </w:style>
  <w:style w:type="character" w:styleId="EndnoteCharacters11">
    <w:name w:val="Endnote Characters11"/>
    <w:qFormat/>
    <w:rPr>
      <w:vertAlign w:val="superscript"/>
    </w:rPr>
  </w:style>
  <w:style w:type="character" w:styleId="EndnoteCharacters111">
    <w:name w:val="Endnote Characters111"/>
    <w:qFormat/>
    <w:rPr>
      <w:vertAlign w:val="superscript"/>
    </w:rPr>
  </w:style>
  <w:style w:type="character" w:styleId="Znakiwypunktowania">
    <w:name w:val="Znaki wypunktowania"/>
    <w:qFormat/>
    <w:rPr>
      <w:rFonts w:ascii="OpenSymbol" w:hAnsi="OpenSymbol" w:eastAsia="OpenSymbol" w:cs="OpenSymbol"/>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Hyperlink">
    <w:name w:val="Hyperlink"/>
    <w:rPr>
      <w:color w:val="000080"/>
      <w:u w:val="single"/>
    </w:rPr>
  </w:style>
  <w:style w:type="paragraph" w:styleId="Nagwek">
    <w:name w:val="Nagłówek"/>
    <w:basedOn w:val="Normal"/>
    <w:next w:val="BodyText"/>
    <w:qFormat/>
    <w:pPr>
      <w:keepNext w:val="true"/>
      <w:spacing w:before="240" w:after="120"/>
    </w:pPr>
    <w:rPr>
      <w:rFonts w:ascii="Liberation Sans" w:hAnsi="Liberation Sans" w:eastAsia="Microsoft YaHei" w:cs="Arial"/>
      <w:sz w:val="26"/>
      <w:szCs w:val="28"/>
    </w:rPr>
  </w:style>
  <w:style w:type="paragraph" w:styleId="BodyText">
    <w:name w:val="Body Text"/>
    <w:basedOn w:val="Normal"/>
    <w:pPr>
      <w:spacing w:lineRule="auto" w:line="276" w:before="0" w:after="140"/>
    </w:pPr>
    <w:rPr/>
  </w:style>
  <w:style w:type="paragraph" w:styleId="List">
    <w:name w:val="List"/>
    <w:basedOn w:val="BodyText"/>
    <w:pPr/>
    <w:rPr>
      <w:rFonts w:ascii="Liberation Sans" w:hAnsi="Liberation Sans" w:cs="Arial"/>
      <w:sz w:val="24"/>
    </w:rPr>
  </w:style>
  <w:style w:type="paragraph" w:styleId="Caption">
    <w:name w:val="caption"/>
    <w:basedOn w:val="Normal"/>
    <w:qFormat/>
    <w:pPr>
      <w:suppressLineNumbers/>
      <w:spacing w:before="120" w:after="120"/>
    </w:pPr>
    <w:rPr>
      <w:rFonts w:ascii="Liberation Sans" w:hAnsi="Liberation Sans" w:cs="Arial"/>
      <w:i/>
      <w:iCs/>
      <w:sz w:val="24"/>
      <w:szCs w:val="24"/>
    </w:rPr>
  </w:style>
  <w:style w:type="paragraph" w:styleId="Indeks">
    <w:name w:val="Indeks"/>
    <w:basedOn w:val="Normal"/>
    <w:qFormat/>
    <w:pPr>
      <w:suppressLineNumbers/>
    </w:pPr>
    <w:rPr>
      <w:rFonts w:ascii="Liberation Sans" w:hAnsi="Liberation Sans" w:cs="Arial"/>
      <w:sz w:val="24"/>
    </w:rPr>
  </w:style>
  <w:style w:type="paragraph" w:styleId="Gwkaistopka">
    <w:name w:val="Główka i stopka"/>
    <w:basedOn w:val="Normal"/>
    <w:qFormat/>
    <w:pPr/>
    <w:rPr/>
  </w:style>
  <w:style w:type="paragraph" w:styleId="Header">
    <w:name w:val="header"/>
    <w:basedOn w:val="Normal"/>
    <w:pPr>
      <w:suppressLineNumbers/>
      <w:tabs>
        <w:tab w:val="clear" w:pos="720"/>
        <w:tab w:val="center" w:pos="4819" w:leader="none"/>
        <w:tab w:val="right" w:pos="9638" w:leader="none"/>
      </w:tabs>
    </w:pPr>
    <w:rPr/>
  </w:style>
  <w:style w:type="paragraph" w:styleId="Footer">
    <w:name w:val="footer"/>
    <w:basedOn w:val="Normal"/>
    <w:pPr>
      <w:suppressLineNumbers/>
      <w:tabs>
        <w:tab w:val="clear" w:pos="720"/>
        <w:tab w:val="center" w:pos="4819" w:leader="none"/>
        <w:tab w:val="right" w:pos="9638" w:leader="none"/>
      </w:tabs>
    </w:pPr>
    <w:rPr/>
  </w:style>
  <w:style w:type="paragraph" w:styleId="Akapitzlist">
    <w:name w:val="Akapit z listą"/>
    <w:basedOn w:val="Normal"/>
    <w:qFormat/>
    <w:pPr>
      <w:suppressAutoHyphens w:val="true"/>
      <w:ind w:hanging="0" w:left="720" w:right="0"/>
    </w:pPr>
    <w:rPr>
      <w:rFonts w:cs="Calibri"/>
      <w:szCs w:val="20"/>
    </w:rPr>
  </w:style>
  <w:style w:type="paragraph" w:styleId="Domylnie">
    <w:name w:val="Domyślnie"/>
    <w:qFormat/>
    <w:pPr>
      <w:widowControl/>
      <w:tabs>
        <w:tab w:val="clear" w:pos="720"/>
        <w:tab w:val="left" w:pos="708" w:leader="none"/>
      </w:tabs>
      <w:suppressAutoHyphens w:val="true"/>
      <w:bidi w:val="0"/>
      <w:spacing w:lineRule="atLeast" w:line="100" w:before="0" w:after="0"/>
      <w:jc w:val="left"/>
    </w:pPr>
    <w:rPr>
      <w:rFonts w:ascii="Liberation Sans" w:hAnsi="Liberation Sans" w:eastAsia="Lucida Sans Unicode" w:cs="Times New Roman"/>
      <w:color w:val="000000"/>
      <w:kern w:val="2"/>
      <w:sz w:val="24"/>
      <w:szCs w:val="24"/>
      <w:lang w:val="pl-PL" w:eastAsia="zh-CN" w:bidi="ar-SA"/>
    </w:rPr>
  </w:style>
  <w:style w:type="paragraph" w:styleId="Zawartotabeli">
    <w:name w:val="Zawartość tabeli"/>
    <w:basedOn w:val="Normal"/>
    <w:qFormat/>
    <w:pPr>
      <w:widowControl w:val="false"/>
      <w:suppressLineNumbers/>
    </w:pPr>
    <w:rPr/>
  </w:style>
  <w:style w:type="paragraph" w:styleId="Default">
    <w:name w:val="Default"/>
    <w:qFormat/>
    <w:pPr>
      <w:widowControl/>
      <w:suppressAutoHyphens w:val="true"/>
      <w:bidi w:val="0"/>
      <w:spacing w:before="0" w:after="0"/>
      <w:jc w:val="left"/>
    </w:pPr>
    <w:rPr>
      <w:rFonts w:ascii="Liberation Sans" w:hAnsi="Liberation Sans" w:eastAsia="Calibri" w:cs="Times New Roman"/>
      <w:color w:val="000000"/>
      <w:kern w:val="2"/>
      <w:sz w:val="24"/>
      <w:szCs w:val="24"/>
      <w:lang w:val="pl-PL" w:eastAsia="zh-CN" w:bidi="ar-SA"/>
    </w:rPr>
  </w:style>
  <w:style w:type="paragraph" w:styleId="Nagwek1">
    <w:name w:val="Nagłówek1"/>
    <w:basedOn w:val="Normal"/>
    <w:next w:val="BodyText"/>
    <w:qFormat/>
    <w:pPr>
      <w:jc w:val="center"/>
    </w:pPr>
    <w:rPr>
      <w:sz w:val="32"/>
    </w:rPr>
  </w:style>
  <w:style w:type="paragraph" w:styleId="Nagwek11">
    <w:name w:val="Nagłówek 11"/>
    <w:basedOn w:val="Nagwek1"/>
    <w:next w:val="BodyText"/>
    <w:qFormat/>
    <w:pPr>
      <w:numPr>
        <w:ilvl w:val="0"/>
        <w:numId w:val="2"/>
      </w:numPr>
      <w:spacing w:before="240" w:after="120"/>
      <w:outlineLvl w:val="0"/>
    </w:pPr>
    <w:rPr>
      <w:b/>
      <w:bCs/>
      <w:sz w:val="36"/>
      <w:szCs w:val="36"/>
    </w:rPr>
  </w:style>
  <w:style w:type="paragraph" w:styleId="FootnoteText">
    <w:name w:val="footnote text"/>
    <w:basedOn w:val="Normal"/>
    <w:pPr>
      <w:suppressLineNumbers/>
      <w:ind w:hanging="340" w:left="340"/>
    </w:pPr>
    <w:rPr>
      <w:sz w:val="20"/>
      <w:szCs w:val="20"/>
    </w:rPr>
  </w:style>
  <w:style w:type="paragraph" w:styleId="Tekstprzypisudolnego1">
    <w:name w:val="Tekst przypisu dolnego1"/>
    <w:basedOn w:val="Normal"/>
    <w:qFormat/>
    <w:pPr>
      <w:suppressLineNumbers/>
      <w:ind w:hanging="339" w:left="339"/>
    </w:pPr>
    <w:rPr>
      <w:sz w:val="20"/>
      <w:szCs w:val="20"/>
    </w:rPr>
  </w:style>
  <w:style w:type="numbering" w:styleId="WW8Num33">
    <w:name w:val="WW8Num33"/>
    <w:qFormat/>
  </w:style>
  <w:style w:type="numbering" w:styleId="WW8Num60">
    <w:name w:val="WW8Num60"/>
    <w:qFormat/>
  </w:style>
  <w:style w:type="numbering" w:styleId="WW8Num63">
    <w:name w:val="WW8Num63"/>
    <w:qFormat/>
  </w:style>
  <w:style w:type="numbering" w:styleId="WW8Num62">
    <w:name w:val="WW8Num62"/>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mailto:ug@zielonki.pl" TargetMode="External"/><Relationship Id="rId4" Type="http://schemas.openxmlformats.org/officeDocument/2006/relationships/hyperlink" Target="https://zielonki.pl/" TargetMode="External"/><Relationship Id="rId5" Type="http://schemas.openxmlformats.org/officeDocument/2006/relationships/hyperlink" Target="https://ezamowienia.gov.pl/mp-client/search/list/ocds-148610-9e00d26a-934e-11ee-ba3b-4e891c384685" TargetMode="Externa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footnotes" Target="footnotes.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3182</TotalTime>
  <Application>LibreOffice/24.8.0.3$Windows_X86_64 LibreOffice_project/0bdf1299c94fe897b119f97f3c613e9dca6be583</Application>
  <AppVersion>15.0000</AppVersion>
  <Pages>47</Pages>
  <Words>12081</Words>
  <Characters>78571</Characters>
  <CharactersWithSpaces>89761</CharactersWithSpaces>
  <Paragraphs>509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2020-12-04T14:37:15Z</dcterms:created>
  <dc:creator>Tomasz Jaje</dc:creator>
  <dc:description/>
  <dc:language>pl-PL</dc:language>
  <cp:lastModifiedBy/>
  <dcterms:modified xsi:type="dcterms:W3CDTF">2024-09-26T07:55:21Z</dcterms:modified>
  <cp:revision>190</cp:revision>
  <dc:subject/>
  <dc:title/>
</cp:coreProperties>
</file>

<file path=docProps/custom.xml><?xml version="1.0" encoding="utf-8"?>
<Properties xmlns="http://schemas.openxmlformats.org/officeDocument/2006/custom-properties" xmlns:vt="http://schemas.openxmlformats.org/officeDocument/2006/docPropsVTypes"/>
</file>